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A990" w14:textId="467DCFA7" w:rsidR="007204E7" w:rsidRPr="007204E7" w:rsidRDefault="007204E7" w:rsidP="007204E7">
      <w:pPr>
        <w:spacing w:after="0" w:line="240" w:lineRule="auto"/>
        <w:jc w:val="center"/>
        <w:rPr>
          <w:rFonts w:ascii="Times New Roman" w:eastAsia="Times New Roman" w:hAnsi="Times New Roman" w:cs="Times New Roman"/>
          <w:b/>
          <w:caps/>
          <w:sz w:val="24"/>
          <w:szCs w:val="24"/>
        </w:rPr>
      </w:pPr>
      <w:bookmarkStart w:id="0" w:name="_Hlk28940907"/>
      <w:r w:rsidRPr="007204E7">
        <w:rPr>
          <w:rFonts w:ascii="Times New Roman" w:eastAsia="Times New Roman" w:hAnsi="Times New Roman" w:cs="Times New Roman"/>
          <w:b/>
          <w:caps/>
          <w:sz w:val="24"/>
          <w:szCs w:val="24"/>
        </w:rPr>
        <w:t xml:space="preserve">DOCKET No. </w:t>
      </w:r>
      <w:r w:rsidR="00916209">
        <w:rPr>
          <w:rFonts w:ascii="Times New Roman" w:eastAsia="Times New Roman" w:hAnsi="Times New Roman" w:cs="Times New Roman"/>
          <w:b/>
          <w:caps/>
          <w:sz w:val="24"/>
          <w:szCs w:val="24"/>
        </w:rPr>
        <w:t>50569</w:t>
      </w:r>
    </w:p>
    <w:p w14:paraId="39D0B508" w14:textId="77777777" w:rsidR="007204E7" w:rsidRPr="007204E7"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7204E7" w14:paraId="2483C971" w14:textId="77777777" w:rsidTr="00402235">
        <w:trPr>
          <w:trHeight w:val="711"/>
        </w:trPr>
        <w:tc>
          <w:tcPr>
            <w:tcW w:w="2431" w:type="pct"/>
          </w:tcPr>
          <w:p w14:paraId="16BDC4D5" w14:textId="4EFAA2F4" w:rsidR="004F0B94" w:rsidRPr="00402235" w:rsidRDefault="004F0B94" w:rsidP="004F0B94">
            <w:pPr>
              <w:spacing w:after="0" w:line="240" w:lineRule="auto"/>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APPLICATION OF</w:t>
            </w:r>
            <w:r w:rsidR="00075AD3">
              <w:rPr>
                <w:rFonts w:ascii="Times New Roman" w:eastAsia="Times New Roman" w:hAnsi="Times New Roman" w:cs="Times New Roman"/>
                <w:b/>
                <w:sz w:val="24"/>
                <w:szCs w:val="20"/>
              </w:rPr>
              <w:t xml:space="preserve"> </w:t>
            </w:r>
            <w:r w:rsidR="00916209">
              <w:rPr>
                <w:rFonts w:ascii="Times New Roman" w:eastAsia="Times New Roman" w:hAnsi="Times New Roman" w:cs="Times New Roman"/>
                <w:b/>
                <w:sz w:val="24"/>
                <w:szCs w:val="20"/>
              </w:rPr>
              <w:t>MSEC WASTE WATER, INC. FOR AUTHORITY TO CHANGE RATES</w:t>
            </w:r>
          </w:p>
        </w:tc>
        <w:tc>
          <w:tcPr>
            <w:tcW w:w="229" w:type="pct"/>
          </w:tcPr>
          <w:p w14:paraId="0934D974"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B86E1D9"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9AD03B8" w14:textId="6B23EA63" w:rsidR="00A15668" w:rsidRPr="007204E7" w:rsidRDefault="007204E7" w:rsidP="00916209">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tc>
        <w:tc>
          <w:tcPr>
            <w:tcW w:w="2340" w:type="pct"/>
          </w:tcPr>
          <w:p w14:paraId="7D7498F6"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7D1CFD97"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7204E7">
                  <w:rPr>
                    <w:rFonts w:ascii="Times New Roman" w:eastAsia="Times New Roman" w:hAnsi="Times New Roman" w:cs="Times New Roman"/>
                    <w:b/>
                    <w:bCs/>
                    <w:caps/>
                    <w:sz w:val="24"/>
                    <w:szCs w:val="20"/>
                  </w:rPr>
                  <w:t>TEXAS</w:t>
                </w:r>
              </w:smartTag>
            </w:smartTag>
          </w:p>
        </w:tc>
      </w:tr>
      <w:bookmarkEnd w:id="0"/>
    </w:tbl>
    <w:p w14:paraId="7F9A6B04" w14:textId="77777777" w:rsidR="00C03E59" w:rsidRDefault="00C03E59" w:rsidP="007204E7">
      <w:pPr>
        <w:keepNext/>
        <w:spacing w:after="0" w:line="240" w:lineRule="auto"/>
        <w:rPr>
          <w:rFonts w:ascii="Times New Roman" w:eastAsia="Times New Roman" w:hAnsi="Times New Roman" w:cs="Times New Roman"/>
          <w:b/>
          <w:caps/>
          <w:sz w:val="24"/>
          <w:szCs w:val="24"/>
        </w:rPr>
      </w:pPr>
    </w:p>
    <w:p w14:paraId="3D7C8E89" w14:textId="2049A666" w:rsidR="007204E7" w:rsidRPr="00A15668" w:rsidRDefault="007204E7" w:rsidP="00DB5BDC">
      <w:pPr>
        <w:keepNext/>
        <w:spacing w:after="120" w:line="360" w:lineRule="auto"/>
        <w:jc w:val="center"/>
        <w:rPr>
          <w:rFonts w:ascii="Times New Roman" w:eastAsia="Times New Roman" w:hAnsi="Times New Roman" w:cs="Times New Roman"/>
          <w:b/>
          <w:caps/>
          <w:sz w:val="24"/>
          <w:szCs w:val="24"/>
        </w:rPr>
      </w:pPr>
      <w:r w:rsidRPr="007204E7">
        <w:rPr>
          <w:rFonts w:ascii="Times New Roman" w:eastAsia="Times New Roman" w:hAnsi="Times New Roman" w:cs="Times New Roman"/>
          <w:b/>
          <w:caps/>
          <w:sz w:val="24"/>
          <w:szCs w:val="24"/>
        </w:rPr>
        <w:t>COMMISSION STAFF</w:t>
      </w:r>
      <w:r>
        <w:rPr>
          <w:rFonts w:ascii="Times New Roman" w:eastAsia="Times New Roman" w:hAnsi="Times New Roman" w:cs="Times New Roman"/>
          <w:b/>
          <w:caps/>
          <w:sz w:val="24"/>
          <w:szCs w:val="24"/>
        </w:rPr>
        <w:t>’</w:t>
      </w:r>
      <w:r w:rsidRPr="007204E7">
        <w:rPr>
          <w:rFonts w:ascii="Times New Roman" w:eastAsia="Times New Roman" w:hAnsi="Times New Roman" w:cs="Times New Roman"/>
          <w:b/>
          <w:caps/>
          <w:sz w:val="24"/>
          <w:szCs w:val="24"/>
        </w:rPr>
        <w:t xml:space="preserve">S </w:t>
      </w:r>
      <w:r w:rsidR="0046347D">
        <w:rPr>
          <w:rFonts w:ascii="Times New Roman" w:eastAsia="Times New Roman" w:hAnsi="Times New Roman" w:cs="Times New Roman"/>
          <w:b/>
          <w:caps/>
          <w:sz w:val="24"/>
          <w:szCs w:val="24"/>
        </w:rPr>
        <w:t>RECOMMENDATION ON FINAL DISPOSITION</w:t>
      </w:r>
    </w:p>
    <w:p w14:paraId="416655AE" w14:textId="6E83350B" w:rsidR="00AB1D98" w:rsidRDefault="00AB1D98" w:rsidP="00A7789A">
      <w:pPr>
        <w:pStyle w:val="ListBullet"/>
      </w:pPr>
      <w:r>
        <w:t xml:space="preserve">On </w:t>
      </w:r>
      <w:r w:rsidR="00916209">
        <w:t>March 9, 2020, MSEC Waste Water, Inc. (MSEC) filed as a Class D Utility using a Class C rate change application for its sewer customers. MSEC holds sewer certificate of convenience and necessity (CCN) No. 20984 with a total of 10 active connections</w:t>
      </w:r>
      <w:r w:rsidR="0046347D">
        <w:t xml:space="preserve">. </w:t>
      </w:r>
      <w:r w:rsidR="00084A3A">
        <w:t>MSEC requested a total revenue requirement of $377,104 and an overall rate of return on its invested capital of 4.74%.</w:t>
      </w:r>
      <w:r w:rsidR="00084A3A">
        <w:rPr>
          <w:rStyle w:val="FootnoteReference"/>
        </w:rPr>
        <w:footnoteReference w:id="1"/>
      </w:r>
    </w:p>
    <w:p w14:paraId="6CE3C79B" w14:textId="21E18218" w:rsidR="00AB1D98" w:rsidRDefault="009F2B05" w:rsidP="00A7789A">
      <w:pPr>
        <w:pStyle w:val="ListBullet"/>
      </w:pPr>
      <w:r>
        <w:t xml:space="preserve">On </w:t>
      </w:r>
      <w:r w:rsidR="00916209">
        <w:t>Ju</w:t>
      </w:r>
      <w:r w:rsidR="00AB3293">
        <w:t>1y</w:t>
      </w:r>
      <w:r w:rsidR="00916209">
        <w:t xml:space="preserve"> </w:t>
      </w:r>
      <w:r w:rsidR="0046347D">
        <w:t>22</w:t>
      </w:r>
      <w:r>
        <w:t xml:space="preserve">, 2021, the </w:t>
      </w:r>
      <w:r w:rsidR="00A15668">
        <w:t>a</w:t>
      </w:r>
      <w:r w:rsidR="008629AD">
        <w:t xml:space="preserve">dministrative </w:t>
      </w:r>
      <w:r w:rsidR="00A15668">
        <w:t>l</w:t>
      </w:r>
      <w:r w:rsidR="008629AD">
        <w:t xml:space="preserve">aw </w:t>
      </w:r>
      <w:r w:rsidR="00A15668">
        <w:t>j</w:t>
      </w:r>
      <w:r w:rsidR="008629AD">
        <w:t>udge (</w:t>
      </w:r>
      <w:r>
        <w:t>ALJ</w:t>
      </w:r>
      <w:r w:rsidR="008629AD">
        <w:t>)</w:t>
      </w:r>
      <w:r>
        <w:t xml:space="preserve"> filed Order No. </w:t>
      </w:r>
      <w:r w:rsidR="00916209">
        <w:t>1</w:t>
      </w:r>
      <w:r w:rsidR="0046347D">
        <w:t>6</w:t>
      </w:r>
      <w:r w:rsidR="00DE3091">
        <w:t xml:space="preserve">, </w:t>
      </w:r>
      <w:r w:rsidR="00AB3293">
        <w:t>suspending the 120-day deadline</w:t>
      </w:r>
      <w:r w:rsidR="00AB3293">
        <w:rPr>
          <w:rStyle w:val="FootnoteReference"/>
        </w:rPr>
        <w:footnoteReference w:id="2"/>
      </w:r>
      <w:r w:rsidR="00AB3293">
        <w:t xml:space="preserve"> for the Commission to set the matter for a hearing on its own motion and </w:t>
      </w:r>
      <w:r w:rsidR="00DE3091">
        <w:t xml:space="preserve">requiring </w:t>
      </w:r>
      <w:r w:rsidR="00A15668">
        <w:t xml:space="preserve">the </w:t>
      </w:r>
      <w:r w:rsidR="00DE3091">
        <w:t>Staff</w:t>
      </w:r>
      <w:r w:rsidR="00A15668">
        <w:t xml:space="preserve"> of the Public Utility Commission of Texas (Staff)</w:t>
      </w:r>
      <w:r w:rsidR="00DE3091">
        <w:t xml:space="preserve"> to </w:t>
      </w:r>
      <w:r w:rsidR="00916209">
        <w:t xml:space="preserve">request a hearing or file a recommendation on final disposition on or before </w:t>
      </w:r>
      <w:r w:rsidR="0046347D">
        <w:t>August 4</w:t>
      </w:r>
      <w:r w:rsidR="00916209">
        <w:t>, 2021</w:t>
      </w:r>
      <w:r w:rsidR="000944E6">
        <w:t>. Therefore, this pleading is timely filed.</w:t>
      </w:r>
    </w:p>
    <w:p w14:paraId="1B8D8058" w14:textId="77777777" w:rsidR="007204E7" w:rsidRDefault="007204E7" w:rsidP="00A7789A">
      <w:pPr>
        <w:spacing w:after="0" w:line="360" w:lineRule="auto"/>
        <w:contextualSpacing/>
        <w:jc w:val="both"/>
      </w:pPr>
    </w:p>
    <w:p w14:paraId="268AAC49" w14:textId="718A26FF" w:rsidR="00841929" w:rsidRPr="00841929" w:rsidRDefault="0046347D" w:rsidP="00A7789A">
      <w:pPr>
        <w:pStyle w:val="ListParagraph"/>
        <w:numPr>
          <w:ilvl w:val="0"/>
          <w:numId w:val="1"/>
        </w:numPr>
        <w:spacing w:after="0" w:line="360" w:lineRule="auto"/>
        <w:jc w:val="center"/>
        <w:rPr>
          <w:rFonts w:ascii="Times New Roman" w:hAnsi="Times New Roman"/>
          <w:b/>
          <w:caps/>
          <w:sz w:val="24"/>
          <w:szCs w:val="24"/>
        </w:rPr>
      </w:pPr>
      <w:bookmarkStart w:id="1" w:name="_Hlk51836154"/>
      <w:r>
        <w:rPr>
          <w:rFonts w:ascii="Times New Roman" w:hAnsi="Times New Roman"/>
          <w:b/>
          <w:caps/>
          <w:sz w:val="24"/>
          <w:szCs w:val="24"/>
        </w:rPr>
        <w:t>staff’s recommendation</w:t>
      </w:r>
    </w:p>
    <w:bookmarkEnd w:id="1"/>
    <w:p w14:paraId="6D8DBD8E" w14:textId="258644BE" w:rsidR="007204E7" w:rsidRDefault="0046347D" w:rsidP="00A7789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MSEC is a Class D utility because it serves less than 500 connections.</w:t>
      </w:r>
      <w:r>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Under Texas Water Code (TWC) § 13.1872(c), a Class D utility may request to change its rates using the procedures to change rates described in TWC § 13.1871. Under TWC § 13.1871(i) and 16 Texas Administrative Code (TAC) § 24.35(c)(2), the Commission must set a rate proceeding for a hearing if an affected municipality or the lesser of 1,000 or 10 percent of the ratepayers of a utility file a protest. No affected municipality filed a complaint, and </w:t>
      </w:r>
      <w:r w:rsidR="00F261A1">
        <w:rPr>
          <w:rFonts w:ascii="Times New Roman" w:eastAsia="Times New Roman" w:hAnsi="Times New Roman" w:cs="Times New Roman"/>
          <w:sz w:val="24"/>
          <w:szCs w:val="24"/>
        </w:rPr>
        <w:t>no</w:t>
      </w:r>
      <w:r>
        <w:rPr>
          <w:rFonts w:ascii="Times New Roman" w:eastAsia="Times New Roman" w:hAnsi="Times New Roman" w:cs="Times New Roman"/>
          <w:sz w:val="24"/>
          <w:szCs w:val="24"/>
        </w:rPr>
        <w:t xml:space="preserve"> ratepayers filed protests. Therefore, the Commission is not required to set this proceeding for a hearing.</w:t>
      </w:r>
    </w:p>
    <w:p w14:paraId="518B95B4" w14:textId="42DC2789" w:rsidR="00AC4A7A" w:rsidRDefault="0046347D" w:rsidP="00A7789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 TWC </w:t>
      </w:r>
      <w:r w:rsidR="00DB5B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13.1871(k), the Commission may set an application for a rate change for a hearing on its own motion within 120 days of the effective date of the rate change. Staff has reviewed MSEC’s amended application and supplemental information and as supported by the </w:t>
      </w:r>
      <w:r>
        <w:rPr>
          <w:rFonts w:ascii="Times New Roman" w:eastAsia="Times New Roman" w:hAnsi="Times New Roman" w:cs="Times New Roman"/>
          <w:sz w:val="24"/>
          <w:szCs w:val="24"/>
        </w:rPr>
        <w:lastRenderedPageBreak/>
        <w:t>attached memorand</w:t>
      </w:r>
      <w:r w:rsidR="00F261A1">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of Leila Guerrero, Rate Regulation Division</w:t>
      </w:r>
      <w:r w:rsidR="00F261A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F261A1">
        <w:rPr>
          <w:rFonts w:ascii="Times New Roman" w:eastAsia="Times New Roman" w:hAnsi="Times New Roman" w:cs="Times New Roman"/>
          <w:sz w:val="24"/>
          <w:szCs w:val="24"/>
        </w:rPr>
        <w:t xml:space="preserve">and Stephen Mendoza, Rate Regulation Division, </w:t>
      </w:r>
      <w:r>
        <w:rPr>
          <w:rFonts w:ascii="Times New Roman" w:eastAsia="Times New Roman" w:hAnsi="Times New Roman" w:cs="Times New Roman"/>
          <w:sz w:val="24"/>
          <w:szCs w:val="24"/>
        </w:rPr>
        <w:t>recommends that a hearing is not necessary. Staff’s review indicates that MSEC’s requested revenue requirement and the resulting rates are based on the original cost of property used by and useful to the utility in providing service;</w:t>
      </w:r>
      <w:r>
        <w:rPr>
          <w:rStyle w:val="FootnoteReference"/>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recover only allowable expenses that are reasonable and necessary;</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rPr>
        <w:t xml:space="preserve"> </w:t>
      </w:r>
      <w:r w:rsidR="00AC4A7A">
        <w:rPr>
          <w:rFonts w:ascii="Times New Roman" w:eastAsia="Times New Roman" w:hAnsi="Times New Roman" w:cs="Times New Roman"/>
          <w:sz w:val="24"/>
          <w:szCs w:val="24"/>
        </w:rPr>
        <w:t>p</w:t>
      </w:r>
      <w:r>
        <w:rPr>
          <w:rFonts w:ascii="Times New Roman" w:eastAsia="Times New Roman" w:hAnsi="Times New Roman" w:cs="Times New Roman"/>
          <w:sz w:val="24"/>
          <w:szCs w:val="24"/>
        </w:rPr>
        <w:t>ermit MSEC “a reasonable opportunity to earn a reasonable return on its invested capital used and useful in rendering service to the public over and above its reasonable and necessary operating expenses”;</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preserve </w:t>
      </w:r>
      <w:r w:rsidR="00DB5BDC">
        <w:rPr>
          <w:rFonts w:ascii="Times New Roman" w:eastAsia="Times New Roman" w:hAnsi="Times New Roman" w:cs="Times New Roman"/>
          <w:sz w:val="24"/>
          <w:szCs w:val="24"/>
        </w:rPr>
        <w:t>MSEC</w:t>
      </w:r>
      <w:r>
        <w:rPr>
          <w:rFonts w:ascii="Times New Roman" w:eastAsia="Times New Roman" w:hAnsi="Times New Roman" w:cs="Times New Roman"/>
          <w:sz w:val="24"/>
          <w:szCs w:val="24"/>
        </w:rPr>
        <w:t>’s financial integrity;</w:t>
      </w:r>
      <w:r>
        <w:rPr>
          <w:rStyle w:val="FootnoteReference"/>
          <w:rFonts w:ascii="Times New Roman" w:eastAsia="Times New Roman" w:hAnsi="Times New Roman" w:cs="Times New Roman"/>
          <w:sz w:val="24"/>
          <w:szCs w:val="24"/>
        </w:rPr>
        <w:footnoteReference w:id="7"/>
      </w:r>
      <w:r>
        <w:rPr>
          <w:rFonts w:ascii="Times New Roman" w:eastAsia="Times New Roman" w:hAnsi="Times New Roman" w:cs="Times New Roman"/>
          <w:sz w:val="24"/>
          <w:szCs w:val="24"/>
        </w:rPr>
        <w:t xml:space="preserve"> are just and reasonable;</w:t>
      </w:r>
      <w:r>
        <w:rPr>
          <w:rStyle w:val="FootnoteReference"/>
          <w:rFonts w:ascii="Times New Roman" w:eastAsia="Times New Roman" w:hAnsi="Times New Roman" w:cs="Times New Roman"/>
          <w:sz w:val="24"/>
          <w:szCs w:val="24"/>
        </w:rPr>
        <w:footnoteReference w:id="8"/>
      </w:r>
      <w:r>
        <w:rPr>
          <w:rFonts w:ascii="Times New Roman" w:eastAsia="Times New Roman" w:hAnsi="Times New Roman" w:cs="Times New Roman"/>
          <w:sz w:val="24"/>
          <w:szCs w:val="24"/>
        </w:rPr>
        <w:t xml:space="preserve"> and are not unreasonably preferential, prejudicial, or discriminatory.</w:t>
      </w:r>
      <w:r>
        <w:rPr>
          <w:rStyle w:val="FootnoteReference"/>
          <w:rFonts w:ascii="Times New Roman" w:eastAsia="Times New Roman" w:hAnsi="Times New Roman" w:cs="Times New Roman"/>
          <w:sz w:val="24"/>
          <w:szCs w:val="24"/>
        </w:rPr>
        <w:footnoteReference w:id="9"/>
      </w:r>
      <w:r w:rsidR="00665013">
        <w:rPr>
          <w:rFonts w:ascii="Times New Roman" w:eastAsia="Times New Roman" w:hAnsi="Times New Roman" w:cs="Times New Roman"/>
          <w:sz w:val="24"/>
          <w:szCs w:val="24"/>
        </w:rPr>
        <w:t xml:space="preserve"> In addition, Staff recommends that the </w:t>
      </w:r>
      <w:r w:rsidR="00F261A1">
        <w:rPr>
          <w:rFonts w:ascii="Times New Roman" w:eastAsia="Times New Roman" w:hAnsi="Times New Roman" w:cs="Times New Roman"/>
          <w:sz w:val="24"/>
          <w:szCs w:val="24"/>
        </w:rPr>
        <w:t>rate</w:t>
      </w:r>
      <w:r w:rsidR="00665013">
        <w:rPr>
          <w:rFonts w:ascii="Times New Roman" w:eastAsia="Times New Roman" w:hAnsi="Times New Roman" w:cs="Times New Roman"/>
          <w:sz w:val="24"/>
          <w:szCs w:val="24"/>
        </w:rPr>
        <w:t>-case expense documentation provided in the application meets the standards of 16 TAC § 24.25, and recommends the approval of MSEC’s requested rate-case expense recovery.</w:t>
      </w:r>
      <w:r w:rsidR="00DB2196">
        <w:rPr>
          <w:rFonts w:ascii="Times New Roman" w:eastAsia="Times New Roman" w:hAnsi="Times New Roman" w:cs="Times New Roman"/>
          <w:sz w:val="24"/>
          <w:szCs w:val="24"/>
        </w:rPr>
        <w:t xml:space="preserve"> </w:t>
      </w:r>
      <w:r w:rsidR="00D748C2">
        <w:rPr>
          <w:rFonts w:ascii="Times New Roman" w:eastAsia="Times New Roman" w:hAnsi="Times New Roman" w:cs="Times New Roman"/>
          <w:sz w:val="24"/>
          <w:szCs w:val="24"/>
        </w:rPr>
        <w:t>Staff notes that</w:t>
      </w:r>
      <w:r w:rsidR="00665013">
        <w:rPr>
          <w:rFonts w:ascii="Times New Roman" w:eastAsia="Times New Roman" w:hAnsi="Times New Roman" w:cs="Times New Roman"/>
          <w:sz w:val="24"/>
          <w:szCs w:val="24"/>
        </w:rPr>
        <w:t xml:space="preserve"> MSEC is a wholly-owned subsidiary of Mid-South Electric Cooperative Association d/b/a Mid-South Electric Co-op, or Mid-South Synergy (Mid-South Electric Coop). Mid-South Electric Coop owns MSEC Enterprises, and MSEC has entered into a Master Service Agreement with Mid-South Electric Coop that is signed by the same individual on behalf of both entities.</w:t>
      </w:r>
      <w:r w:rsidR="00AC4A7A">
        <w:rPr>
          <w:rStyle w:val="FootnoteReference"/>
          <w:rFonts w:ascii="Times New Roman" w:eastAsia="Times New Roman" w:hAnsi="Times New Roman" w:cs="Times New Roman"/>
          <w:sz w:val="24"/>
          <w:szCs w:val="24"/>
        </w:rPr>
        <w:footnoteReference w:id="10"/>
      </w:r>
      <w:r w:rsidR="00665013">
        <w:rPr>
          <w:rFonts w:ascii="Times New Roman" w:eastAsia="Times New Roman" w:hAnsi="Times New Roman" w:cs="Times New Roman"/>
          <w:sz w:val="24"/>
          <w:szCs w:val="24"/>
        </w:rPr>
        <w:t xml:space="preserve"> </w:t>
      </w:r>
      <w:r w:rsidR="00AC4A7A">
        <w:rPr>
          <w:rFonts w:ascii="Times New Roman" w:eastAsia="Times New Roman" w:hAnsi="Times New Roman" w:cs="Times New Roman"/>
          <w:sz w:val="24"/>
          <w:szCs w:val="24"/>
        </w:rPr>
        <w:t>Therefore, MSEC’s requested revenue requirement includes payments made to an affiliated entity.</w:t>
      </w:r>
    </w:p>
    <w:p w14:paraId="30FA63B9" w14:textId="21EDAEB2" w:rsidR="00AC4A7A" w:rsidRDefault="00AC4A7A" w:rsidP="00A7789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standard for recovery of affiliate expenses is found in TWC § 13.185(e), which reads as follows:</w:t>
      </w:r>
    </w:p>
    <w:p w14:paraId="2BFC1825" w14:textId="198A30F8" w:rsidR="00AC4A7A" w:rsidRDefault="00AC4A7A" w:rsidP="00DB2196">
      <w:pPr>
        <w:spacing w:after="240" w:line="240" w:lineRule="auto"/>
        <w:ind w:left="1080" w:righ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AC4A7A">
        <w:rPr>
          <w:rFonts w:ascii="Times New Roman" w:eastAsia="Times New Roman" w:hAnsi="Times New Roman" w:cs="Times New Roman"/>
          <w:sz w:val="24"/>
          <w:szCs w:val="24"/>
        </w:rPr>
        <w:t>ayment to affiliated interests for costs of any services, or any property, right or thing, or for</w:t>
      </w:r>
      <w:r>
        <w:rPr>
          <w:rFonts w:ascii="Times New Roman" w:eastAsia="Times New Roman" w:hAnsi="Times New Roman" w:cs="Times New Roman"/>
          <w:sz w:val="24"/>
          <w:szCs w:val="24"/>
        </w:rPr>
        <w:t xml:space="preserve"> </w:t>
      </w:r>
      <w:r w:rsidRPr="00AC4A7A">
        <w:rPr>
          <w:rFonts w:ascii="Times New Roman" w:eastAsia="Times New Roman" w:hAnsi="Times New Roman" w:cs="Times New Roman"/>
          <w:sz w:val="24"/>
          <w:szCs w:val="24"/>
        </w:rPr>
        <w:t>interest expense may not be allowed either as capital cost or as expense except to the extent that the</w:t>
      </w:r>
      <w:r>
        <w:rPr>
          <w:rFonts w:ascii="Times New Roman" w:eastAsia="Times New Roman" w:hAnsi="Times New Roman" w:cs="Times New Roman"/>
          <w:sz w:val="24"/>
          <w:szCs w:val="24"/>
        </w:rPr>
        <w:t xml:space="preserve"> r</w:t>
      </w:r>
      <w:r w:rsidRPr="00AC4A7A">
        <w:rPr>
          <w:rFonts w:ascii="Times New Roman" w:eastAsia="Times New Roman" w:hAnsi="Times New Roman" w:cs="Times New Roman"/>
          <w:sz w:val="24"/>
          <w:szCs w:val="24"/>
        </w:rPr>
        <w:t>egulatory authority finds that payment to be reasonable and necessary. A finding of reasonableness and</w:t>
      </w:r>
      <w:r>
        <w:rPr>
          <w:rFonts w:ascii="Times New Roman" w:eastAsia="Times New Roman" w:hAnsi="Times New Roman" w:cs="Times New Roman"/>
          <w:sz w:val="24"/>
          <w:szCs w:val="24"/>
        </w:rPr>
        <w:t xml:space="preserve"> </w:t>
      </w:r>
      <w:r w:rsidRPr="00AC4A7A">
        <w:rPr>
          <w:rFonts w:ascii="Times New Roman" w:eastAsia="Times New Roman" w:hAnsi="Times New Roman" w:cs="Times New Roman"/>
          <w:sz w:val="24"/>
          <w:szCs w:val="24"/>
        </w:rPr>
        <w:t>necessity must include specific statements setting forth the cost to the affiliate of each item or class of</w:t>
      </w:r>
      <w:r>
        <w:rPr>
          <w:rFonts w:ascii="Times New Roman" w:eastAsia="Times New Roman" w:hAnsi="Times New Roman" w:cs="Times New Roman"/>
          <w:sz w:val="24"/>
          <w:szCs w:val="24"/>
        </w:rPr>
        <w:t xml:space="preserve"> </w:t>
      </w:r>
      <w:r w:rsidRPr="00AC4A7A">
        <w:rPr>
          <w:rFonts w:ascii="Times New Roman" w:eastAsia="Times New Roman" w:hAnsi="Times New Roman" w:cs="Times New Roman"/>
          <w:sz w:val="24"/>
          <w:szCs w:val="24"/>
        </w:rPr>
        <w:t>items in question and a finding that the price to the utility is no higher than prices charged by the</w:t>
      </w:r>
      <w:r>
        <w:rPr>
          <w:rFonts w:ascii="Times New Roman" w:eastAsia="Times New Roman" w:hAnsi="Times New Roman" w:cs="Times New Roman"/>
          <w:sz w:val="24"/>
          <w:szCs w:val="24"/>
        </w:rPr>
        <w:t xml:space="preserve"> </w:t>
      </w:r>
      <w:r w:rsidRPr="00AC4A7A">
        <w:rPr>
          <w:rFonts w:ascii="Times New Roman" w:eastAsia="Times New Roman" w:hAnsi="Times New Roman" w:cs="Times New Roman"/>
          <w:sz w:val="24"/>
          <w:szCs w:val="24"/>
        </w:rPr>
        <w:t>supplying affiliate to its other affiliates or divisions for the same item or items, or to unaffiliated persons</w:t>
      </w:r>
      <w:r>
        <w:rPr>
          <w:rFonts w:ascii="Times New Roman" w:eastAsia="Times New Roman" w:hAnsi="Times New Roman" w:cs="Times New Roman"/>
          <w:sz w:val="24"/>
          <w:szCs w:val="24"/>
        </w:rPr>
        <w:t xml:space="preserve"> </w:t>
      </w:r>
      <w:r w:rsidRPr="00AC4A7A">
        <w:rPr>
          <w:rFonts w:ascii="Times New Roman" w:eastAsia="Times New Roman" w:hAnsi="Times New Roman" w:cs="Times New Roman"/>
          <w:sz w:val="24"/>
          <w:szCs w:val="24"/>
        </w:rPr>
        <w:t>or corporations</w:t>
      </w:r>
      <w:r>
        <w:rPr>
          <w:rFonts w:ascii="Times New Roman" w:eastAsia="Times New Roman" w:hAnsi="Times New Roman" w:cs="Times New Roman"/>
          <w:sz w:val="24"/>
          <w:szCs w:val="24"/>
        </w:rPr>
        <w:t>.</w:t>
      </w:r>
    </w:p>
    <w:p w14:paraId="1242A217" w14:textId="4915FF32" w:rsidR="00F261A1" w:rsidRDefault="002B1C83" w:rsidP="00C20F43">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Staff initially sought information</w:t>
      </w:r>
      <w:r w:rsidR="00665013">
        <w:rPr>
          <w:rFonts w:ascii="Times New Roman" w:eastAsia="Times New Roman" w:hAnsi="Times New Roman" w:cs="Times New Roman"/>
          <w:sz w:val="24"/>
          <w:szCs w:val="24"/>
        </w:rPr>
        <w:t xml:space="preserve"> in this proceeding </w:t>
      </w:r>
      <w:r>
        <w:rPr>
          <w:rFonts w:ascii="Times New Roman" w:eastAsia="Times New Roman" w:hAnsi="Times New Roman" w:cs="Times New Roman"/>
          <w:sz w:val="24"/>
          <w:szCs w:val="24"/>
        </w:rPr>
        <w:t>related to</w:t>
      </w:r>
      <w:r w:rsidR="00C20F43">
        <w:rPr>
          <w:rFonts w:ascii="Times New Roman" w:eastAsia="Times New Roman" w:hAnsi="Times New Roman" w:cs="Times New Roman"/>
          <w:sz w:val="24"/>
          <w:szCs w:val="24"/>
        </w:rPr>
        <w:t xml:space="preserve"> </w:t>
      </w:r>
      <w:r w:rsidR="00665013">
        <w:rPr>
          <w:rFonts w:ascii="Times New Roman" w:eastAsia="Times New Roman" w:hAnsi="Times New Roman" w:cs="Times New Roman"/>
          <w:sz w:val="24"/>
          <w:szCs w:val="24"/>
        </w:rPr>
        <w:t>MSEC’s ownership, organizational structure, and governance, including board members, executives, employees, and relevant service agreements</w:t>
      </w:r>
      <w:r w:rsidR="00C20F43">
        <w:rPr>
          <w:rFonts w:ascii="Times New Roman" w:eastAsia="Times New Roman" w:hAnsi="Times New Roman" w:cs="Times New Roman"/>
          <w:sz w:val="24"/>
          <w:szCs w:val="24"/>
        </w:rPr>
        <w:t>.</w:t>
      </w:r>
      <w:r w:rsidR="00C20F43">
        <w:rPr>
          <w:rStyle w:val="FootnoteReference"/>
          <w:rFonts w:ascii="Times New Roman" w:eastAsia="Times New Roman" w:hAnsi="Times New Roman" w:cs="Times New Roman"/>
          <w:sz w:val="24"/>
          <w:szCs w:val="24"/>
        </w:rPr>
        <w:footnoteReference w:id="11"/>
      </w:r>
      <w:r w:rsidR="00665013">
        <w:rPr>
          <w:rFonts w:ascii="Times New Roman" w:eastAsia="Times New Roman" w:hAnsi="Times New Roman" w:cs="Times New Roman"/>
          <w:sz w:val="24"/>
          <w:szCs w:val="24"/>
        </w:rPr>
        <w:t xml:space="preserve"> </w:t>
      </w:r>
      <w:r w:rsidR="00C20F43">
        <w:rPr>
          <w:rFonts w:ascii="Times New Roman" w:eastAsia="Times New Roman" w:hAnsi="Times New Roman" w:cs="Times New Roman"/>
          <w:sz w:val="24"/>
          <w:szCs w:val="24"/>
        </w:rPr>
        <w:t xml:space="preserve">In Order No. 8, the ALJ </w:t>
      </w:r>
      <w:r w:rsidR="00DD508B">
        <w:rPr>
          <w:rFonts w:ascii="Times New Roman" w:eastAsia="Times New Roman" w:hAnsi="Times New Roman" w:cs="Times New Roman"/>
          <w:sz w:val="24"/>
          <w:szCs w:val="24"/>
        </w:rPr>
        <w:t xml:space="preserve">held that </w:t>
      </w:r>
      <w:r w:rsidR="00C20F43">
        <w:rPr>
          <w:rFonts w:ascii="Times New Roman" w:eastAsia="Times New Roman" w:hAnsi="Times New Roman" w:cs="Times New Roman"/>
          <w:sz w:val="24"/>
          <w:szCs w:val="24"/>
        </w:rPr>
        <w:t xml:space="preserve"> </w:t>
      </w:r>
      <w:r w:rsidR="00665013">
        <w:rPr>
          <w:rFonts w:ascii="Times New Roman" w:eastAsia="Times New Roman" w:hAnsi="Times New Roman" w:cs="Times New Roman"/>
          <w:sz w:val="24"/>
          <w:szCs w:val="24"/>
        </w:rPr>
        <w:t>MSEC’s application was appropriate to be evaluated as a Class D utility</w:t>
      </w:r>
      <w:r w:rsidR="00DD508B">
        <w:rPr>
          <w:rFonts w:ascii="Times New Roman" w:eastAsia="Times New Roman" w:hAnsi="Times New Roman" w:cs="Times New Roman"/>
          <w:sz w:val="24"/>
          <w:szCs w:val="24"/>
        </w:rPr>
        <w:t>.</w:t>
      </w:r>
      <w:r w:rsidR="00DD508B">
        <w:rPr>
          <w:rStyle w:val="FootnoteReference"/>
          <w:rFonts w:ascii="Times New Roman" w:eastAsia="Times New Roman" w:hAnsi="Times New Roman" w:cs="Times New Roman"/>
          <w:sz w:val="24"/>
          <w:szCs w:val="24"/>
        </w:rPr>
        <w:footnoteReference w:id="12"/>
      </w:r>
      <w:r w:rsidR="00DD508B">
        <w:rPr>
          <w:rStyle w:val="FootnoteReference"/>
          <w:rFonts w:ascii="Times New Roman" w:eastAsia="Times New Roman" w:hAnsi="Times New Roman" w:cs="Times New Roman"/>
          <w:sz w:val="24"/>
          <w:szCs w:val="24"/>
        </w:rPr>
        <w:t xml:space="preserve"> </w:t>
      </w:r>
      <w:r w:rsidR="00DD508B">
        <w:rPr>
          <w:rFonts w:ascii="Times New Roman" w:eastAsia="Times New Roman" w:hAnsi="Times New Roman" w:cs="Times New Roman"/>
          <w:sz w:val="24"/>
          <w:szCs w:val="24"/>
        </w:rPr>
        <w:t xml:space="preserve"> Based on that ruling, and the information included in the application and in MSECs Second Supplement to the Application filed on July 20, 2021, </w:t>
      </w:r>
      <w:r w:rsidR="00665013">
        <w:rPr>
          <w:rFonts w:ascii="Times New Roman" w:eastAsia="Times New Roman" w:hAnsi="Times New Roman" w:cs="Times New Roman"/>
          <w:sz w:val="24"/>
          <w:szCs w:val="24"/>
        </w:rPr>
        <w:t xml:space="preserve">Staff </w:t>
      </w:r>
      <w:r w:rsidR="00DD508B">
        <w:rPr>
          <w:rFonts w:ascii="Times New Roman" w:eastAsia="Times New Roman" w:hAnsi="Times New Roman" w:cs="Times New Roman"/>
          <w:sz w:val="24"/>
          <w:szCs w:val="24"/>
        </w:rPr>
        <w:t>recommends</w:t>
      </w:r>
      <w:r w:rsidR="00665013">
        <w:rPr>
          <w:rFonts w:ascii="Times New Roman" w:eastAsia="Times New Roman" w:hAnsi="Times New Roman" w:cs="Times New Roman"/>
          <w:sz w:val="24"/>
          <w:szCs w:val="24"/>
        </w:rPr>
        <w:t xml:space="preserve"> that MSEC</w:t>
      </w:r>
      <w:r w:rsidR="00DD508B">
        <w:rPr>
          <w:rFonts w:ascii="Times New Roman" w:eastAsia="Times New Roman" w:hAnsi="Times New Roman" w:cs="Times New Roman"/>
          <w:sz w:val="24"/>
          <w:szCs w:val="24"/>
        </w:rPr>
        <w:t>’s</w:t>
      </w:r>
      <w:r w:rsidR="00665013">
        <w:rPr>
          <w:rFonts w:ascii="Times New Roman" w:eastAsia="Times New Roman" w:hAnsi="Times New Roman" w:cs="Times New Roman"/>
          <w:sz w:val="24"/>
          <w:szCs w:val="24"/>
        </w:rPr>
        <w:t xml:space="preserve">  requested affiliate expenses </w:t>
      </w:r>
      <w:r w:rsidR="00DD508B">
        <w:rPr>
          <w:rFonts w:ascii="Times New Roman" w:eastAsia="Times New Roman" w:hAnsi="Times New Roman" w:cs="Times New Roman"/>
          <w:sz w:val="24"/>
          <w:szCs w:val="24"/>
        </w:rPr>
        <w:t>meet</w:t>
      </w:r>
      <w:r w:rsidR="00665013">
        <w:rPr>
          <w:rFonts w:ascii="Times New Roman" w:eastAsia="Times New Roman" w:hAnsi="Times New Roman" w:cs="Times New Roman"/>
          <w:sz w:val="24"/>
          <w:szCs w:val="24"/>
        </w:rPr>
        <w:t xml:space="preserve"> the requirements of TWC § 13.185(e). In the event that the ALJ disagrees with Staff’s recommendation herein, Staff requests </w:t>
      </w:r>
      <w:r w:rsidR="00DD508B">
        <w:rPr>
          <w:rFonts w:ascii="Times New Roman" w:eastAsia="Times New Roman" w:hAnsi="Times New Roman" w:cs="Times New Roman"/>
          <w:sz w:val="24"/>
          <w:szCs w:val="24"/>
        </w:rPr>
        <w:t>referral to the State Office of Administrative Hearings for a hearing on the merits.</w:t>
      </w:r>
    </w:p>
    <w:p w14:paraId="09B796D5" w14:textId="6BEC0890" w:rsidR="00F261A1" w:rsidRDefault="00F261A1" w:rsidP="00C20F43">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has provided a copy of the proposed tariff as an attachment to this filing. </w:t>
      </w:r>
      <w:r w:rsidR="00D748C2">
        <w:rPr>
          <w:rFonts w:ascii="Times New Roman" w:eastAsia="Times New Roman" w:hAnsi="Times New Roman" w:cs="Times New Roman"/>
          <w:sz w:val="24"/>
          <w:szCs w:val="24"/>
        </w:rPr>
        <w:t xml:space="preserve">Finally, Staff intends to work with MSEC to prepare and submit a joint proposed notice of approval on or before </w:t>
      </w:r>
      <w:r>
        <w:rPr>
          <w:rFonts w:ascii="Times New Roman" w:eastAsia="Times New Roman" w:hAnsi="Times New Roman" w:cs="Times New Roman"/>
          <w:sz w:val="24"/>
          <w:szCs w:val="24"/>
        </w:rPr>
        <w:t>August 12</w:t>
      </w:r>
      <w:r w:rsidR="00D748C2">
        <w:rPr>
          <w:rFonts w:ascii="Times New Roman" w:eastAsia="Times New Roman" w:hAnsi="Times New Roman" w:cs="Times New Roman"/>
          <w:sz w:val="24"/>
          <w:szCs w:val="24"/>
        </w:rPr>
        <w:t>, 2021</w:t>
      </w:r>
      <w:r>
        <w:rPr>
          <w:rFonts w:ascii="Times New Roman" w:eastAsia="Times New Roman" w:hAnsi="Times New Roman" w:cs="Times New Roman"/>
          <w:sz w:val="24"/>
          <w:szCs w:val="24"/>
        </w:rPr>
        <w:t xml:space="preserve"> as provided by the procedural schedule </w:t>
      </w:r>
      <w:r w:rsidR="00DD508B">
        <w:rPr>
          <w:rFonts w:ascii="Times New Roman" w:eastAsia="Times New Roman" w:hAnsi="Times New Roman" w:cs="Times New Roman"/>
          <w:sz w:val="24"/>
          <w:szCs w:val="24"/>
        </w:rPr>
        <w:t>established in</w:t>
      </w:r>
      <w:r>
        <w:rPr>
          <w:rFonts w:ascii="Times New Roman" w:eastAsia="Times New Roman" w:hAnsi="Times New Roman" w:cs="Times New Roman"/>
          <w:sz w:val="24"/>
          <w:szCs w:val="24"/>
        </w:rPr>
        <w:t xml:space="preserve"> Order No. 16</w:t>
      </w:r>
      <w:r w:rsidR="00D748C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2C6C89BE" w14:textId="77777777" w:rsidR="00F261A1" w:rsidRPr="00AA2FC3" w:rsidRDefault="00F261A1">
      <w:pPr>
        <w:spacing w:after="0" w:line="360" w:lineRule="auto"/>
        <w:contextualSpacing/>
        <w:jc w:val="both"/>
        <w:rPr>
          <w:rFonts w:ascii="Times New Roman" w:eastAsia="Times New Roman" w:hAnsi="Times New Roman" w:cs="Times New Roman"/>
          <w:sz w:val="24"/>
          <w:szCs w:val="24"/>
        </w:rPr>
      </w:pPr>
    </w:p>
    <w:p w14:paraId="6B368261" w14:textId="32F08A44" w:rsidR="00D62324" w:rsidRPr="00B130B2" w:rsidRDefault="007204E7">
      <w:pPr>
        <w:pStyle w:val="ListParagraph"/>
        <w:numPr>
          <w:ilvl w:val="0"/>
          <w:numId w:val="1"/>
        </w:numPr>
        <w:spacing w:after="0" w:line="360" w:lineRule="auto"/>
        <w:jc w:val="center"/>
        <w:rPr>
          <w:rFonts w:ascii="Times New Roman" w:hAnsi="Times New Roman"/>
          <w:b/>
          <w:caps/>
          <w:sz w:val="24"/>
          <w:szCs w:val="24"/>
        </w:rPr>
      </w:pPr>
      <w:r w:rsidRPr="00B130B2">
        <w:rPr>
          <w:rFonts w:ascii="Times New Roman" w:hAnsi="Times New Roman"/>
          <w:b/>
          <w:caps/>
          <w:sz w:val="24"/>
          <w:szCs w:val="24"/>
        </w:rPr>
        <w:t xml:space="preserve">CONCLUSION </w:t>
      </w:r>
    </w:p>
    <w:p w14:paraId="16C0C508" w14:textId="23B14AD3" w:rsidR="00841929" w:rsidRPr="00F313FA" w:rsidRDefault="00841929">
      <w:pPr>
        <w:spacing w:after="0" w:line="360" w:lineRule="auto"/>
        <w:ind w:firstLine="720"/>
        <w:jc w:val="both"/>
        <w:rPr>
          <w:rFonts w:ascii="Times New Roman" w:eastAsia="Times New Roman" w:hAnsi="Times New Roman" w:cs="Times New Roman"/>
          <w:sz w:val="24"/>
          <w:szCs w:val="24"/>
        </w:rPr>
      </w:pPr>
      <w:r w:rsidRPr="00B130B2">
        <w:rPr>
          <w:rFonts w:ascii="Times New Roman" w:eastAsia="Times New Roman" w:hAnsi="Times New Roman" w:cs="Times New Roman"/>
          <w:sz w:val="24"/>
          <w:szCs w:val="24"/>
        </w:rPr>
        <w:t xml:space="preserve">Staff respectfully requests </w:t>
      </w:r>
      <w:r w:rsidR="00D748C2">
        <w:rPr>
          <w:rFonts w:ascii="Times New Roman" w:eastAsia="Times New Roman" w:hAnsi="Times New Roman" w:cs="Times New Roman"/>
          <w:sz w:val="24"/>
          <w:szCs w:val="24"/>
        </w:rPr>
        <w:t>that the Commission approve MSEC’s application as supplemented in the record of this proceeding.</w:t>
      </w:r>
    </w:p>
    <w:p w14:paraId="58C47C8B" w14:textId="77777777" w:rsidR="00084A3A" w:rsidRDefault="00084A3A" w:rsidP="00C03E59">
      <w:pPr>
        <w:spacing w:after="0" w:line="360" w:lineRule="auto"/>
        <w:jc w:val="both"/>
        <w:rPr>
          <w:rFonts w:ascii="Times New Roman" w:eastAsia="Times New Roman" w:hAnsi="Times New Roman" w:cs="Times New Roman"/>
          <w:b/>
          <w:sz w:val="24"/>
          <w:szCs w:val="24"/>
        </w:rPr>
      </w:pPr>
    </w:p>
    <w:p w14:paraId="798DDEFF" w14:textId="52B0D56C" w:rsidR="00916209" w:rsidRDefault="00916209" w:rsidP="00C03E59">
      <w:pPr>
        <w:spacing w:after="0" w:line="360" w:lineRule="auto"/>
        <w:jc w:val="both"/>
        <w:rPr>
          <w:rFonts w:ascii="Times New Roman" w:eastAsia="Times New Roman" w:hAnsi="Times New Roman" w:cs="Times New Roman"/>
          <w:b/>
          <w:sz w:val="24"/>
          <w:szCs w:val="24"/>
        </w:rPr>
      </w:pPr>
    </w:p>
    <w:p w14:paraId="0B683B45" w14:textId="77777777" w:rsidR="00DD508B" w:rsidRDefault="00DD508B" w:rsidP="00C03E59">
      <w:pPr>
        <w:spacing w:after="0" w:line="360" w:lineRule="auto"/>
        <w:jc w:val="both"/>
        <w:rPr>
          <w:rFonts w:ascii="Times New Roman" w:eastAsia="Times New Roman" w:hAnsi="Times New Roman" w:cs="Times New Roman"/>
          <w:sz w:val="24"/>
          <w:szCs w:val="24"/>
          <w:highlight w:val="yellow"/>
        </w:rPr>
      </w:pPr>
    </w:p>
    <w:p w14:paraId="4964D20F" w14:textId="77777777" w:rsidR="00DD508B" w:rsidRDefault="00DD508B" w:rsidP="00C03E59">
      <w:pPr>
        <w:spacing w:after="0" w:line="360" w:lineRule="auto"/>
        <w:jc w:val="both"/>
        <w:rPr>
          <w:rFonts w:ascii="Times New Roman" w:eastAsia="Times New Roman" w:hAnsi="Times New Roman" w:cs="Times New Roman"/>
          <w:sz w:val="24"/>
          <w:szCs w:val="24"/>
          <w:highlight w:val="yellow"/>
        </w:rPr>
      </w:pPr>
    </w:p>
    <w:p w14:paraId="6A7FBF6C" w14:textId="041DB5E5" w:rsidR="00DD508B" w:rsidRDefault="00DD508B" w:rsidP="00C03E59">
      <w:pPr>
        <w:spacing w:after="0" w:line="360" w:lineRule="auto"/>
        <w:jc w:val="both"/>
        <w:rPr>
          <w:rFonts w:ascii="Times New Roman" w:eastAsia="Times New Roman" w:hAnsi="Times New Roman" w:cs="Times New Roman"/>
          <w:sz w:val="24"/>
          <w:szCs w:val="24"/>
          <w:highlight w:val="yellow"/>
        </w:rPr>
      </w:pPr>
    </w:p>
    <w:p w14:paraId="02D7D6C1" w14:textId="2D56654F" w:rsidR="00DB2196" w:rsidRDefault="00DB2196" w:rsidP="00C03E59">
      <w:pPr>
        <w:spacing w:after="0" w:line="360" w:lineRule="auto"/>
        <w:jc w:val="both"/>
        <w:rPr>
          <w:rFonts w:ascii="Times New Roman" w:eastAsia="Times New Roman" w:hAnsi="Times New Roman" w:cs="Times New Roman"/>
          <w:sz w:val="24"/>
          <w:szCs w:val="24"/>
          <w:highlight w:val="yellow"/>
        </w:rPr>
      </w:pPr>
    </w:p>
    <w:p w14:paraId="66794E35" w14:textId="56BA352C" w:rsidR="00DB2196" w:rsidRDefault="00DB2196" w:rsidP="00C03E59">
      <w:pPr>
        <w:spacing w:after="0" w:line="360" w:lineRule="auto"/>
        <w:jc w:val="both"/>
        <w:rPr>
          <w:rFonts w:ascii="Times New Roman" w:eastAsia="Times New Roman" w:hAnsi="Times New Roman" w:cs="Times New Roman"/>
          <w:sz w:val="24"/>
          <w:szCs w:val="24"/>
          <w:highlight w:val="yellow"/>
        </w:rPr>
      </w:pPr>
    </w:p>
    <w:p w14:paraId="4096C4BB" w14:textId="73061B6A" w:rsidR="00DB2196" w:rsidRDefault="00DB2196" w:rsidP="00C03E59">
      <w:pPr>
        <w:spacing w:after="0" w:line="360" w:lineRule="auto"/>
        <w:jc w:val="both"/>
        <w:rPr>
          <w:rFonts w:ascii="Times New Roman" w:eastAsia="Times New Roman" w:hAnsi="Times New Roman" w:cs="Times New Roman"/>
          <w:sz w:val="24"/>
          <w:szCs w:val="24"/>
          <w:highlight w:val="yellow"/>
        </w:rPr>
      </w:pPr>
    </w:p>
    <w:p w14:paraId="4C569769" w14:textId="30FB722F" w:rsidR="00DB2196" w:rsidRDefault="00DB2196" w:rsidP="00C03E59">
      <w:pPr>
        <w:spacing w:after="0" w:line="360" w:lineRule="auto"/>
        <w:jc w:val="both"/>
        <w:rPr>
          <w:rFonts w:ascii="Times New Roman" w:eastAsia="Times New Roman" w:hAnsi="Times New Roman" w:cs="Times New Roman"/>
          <w:sz w:val="24"/>
          <w:szCs w:val="24"/>
          <w:highlight w:val="yellow"/>
        </w:rPr>
      </w:pPr>
    </w:p>
    <w:p w14:paraId="39584326" w14:textId="0A14ECFD" w:rsidR="00DB2196" w:rsidRDefault="00DB2196" w:rsidP="00C03E59">
      <w:pPr>
        <w:spacing w:after="0" w:line="360" w:lineRule="auto"/>
        <w:jc w:val="both"/>
        <w:rPr>
          <w:rFonts w:ascii="Times New Roman" w:eastAsia="Times New Roman" w:hAnsi="Times New Roman" w:cs="Times New Roman"/>
          <w:sz w:val="24"/>
          <w:szCs w:val="24"/>
          <w:highlight w:val="yellow"/>
        </w:rPr>
      </w:pPr>
    </w:p>
    <w:p w14:paraId="5FD453C4" w14:textId="77777777" w:rsidR="00DB2196" w:rsidRDefault="00DB2196" w:rsidP="00C03E59">
      <w:pPr>
        <w:spacing w:after="0" w:line="360" w:lineRule="auto"/>
        <w:jc w:val="both"/>
        <w:rPr>
          <w:rFonts w:ascii="Times New Roman" w:eastAsia="Times New Roman" w:hAnsi="Times New Roman" w:cs="Times New Roman"/>
          <w:sz w:val="24"/>
          <w:szCs w:val="24"/>
          <w:highlight w:val="yellow"/>
        </w:rPr>
      </w:pPr>
    </w:p>
    <w:p w14:paraId="38524C40" w14:textId="77777777" w:rsidR="00DD508B" w:rsidRDefault="00DD508B" w:rsidP="00C03E59">
      <w:pPr>
        <w:spacing w:after="0" w:line="360" w:lineRule="auto"/>
        <w:jc w:val="both"/>
        <w:rPr>
          <w:rFonts w:ascii="Times New Roman" w:eastAsia="Times New Roman" w:hAnsi="Times New Roman" w:cs="Times New Roman"/>
          <w:sz w:val="24"/>
          <w:szCs w:val="24"/>
          <w:highlight w:val="yellow"/>
        </w:rPr>
      </w:pPr>
    </w:p>
    <w:p w14:paraId="73137B6B" w14:textId="77777777" w:rsidR="00DD508B" w:rsidRDefault="00DD508B" w:rsidP="00C03E59">
      <w:pPr>
        <w:spacing w:after="0" w:line="360" w:lineRule="auto"/>
        <w:jc w:val="both"/>
        <w:rPr>
          <w:rFonts w:ascii="Times New Roman" w:eastAsia="Times New Roman" w:hAnsi="Times New Roman" w:cs="Times New Roman"/>
          <w:sz w:val="24"/>
          <w:szCs w:val="24"/>
          <w:highlight w:val="yellow"/>
        </w:rPr>
      </w:pPr>
    </w:p>
    <w:p w14:paraId="40A2D58D" w14:textId="77777777" w:rsidR="00DD508B" w:rsidRDefault="00DD508B" w:rsidP="00C03E59">
      <w:pPr>
        <w:spacing w:after="0" w:line="360" w:lineRule="auto"/>
        <w:jc w:val="both"/>
        <w:rPr>
          <w:rFonts w:ascii="Times New Roman" w:eastAsia="Times New Roman" w:hAnsi="Times New Roman" w:cs="Times New Roman"/>
          <w:sz w:val="24"/>
          <w:szCs w:val="24"/>
          <w:highlight w:val="yellow"/>
        </w:rPr>
      </w:pPr>
    </w:p>
    <w:p w14:paraId="703407B3" w14:textId="0BDD9F1A" w:rsidR="00C03E59" w:rsidRPr="00DB2196" w:rsidRDefault="00C03E59" w:rsidP="00C03E59">
      <w:pPr>
        <w:spacing w:after="0" w:line="36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lastRenderedPageBreak/>
        <w:t xml:space="preserve">Dated: </w:t>
      </w:r>
      <w:r w:rsidRPr="00DB2196">
        <w:rPr>
          <w:rFonts w:ascii="Times New Roman" w:eastAsia="Times New Roman" w:hAnsi="Times New Roman" w:cs="Times New Roman"/>
          <w:sz w:val="24"/>
          <w:szCs w:val="24"/>
        </w:rPr>
        <w:fldChar w:fldCharType="begin"/>
      </w:r>
      <w:r w:rsidRPr="00DB2196">
        <w:rPr>
          <w:rFonts w:ascii="Times New Roman" w:eastAsia="Times New Roman" w:hAnsi="Times New Roman" w:cs="Times New Roman"/>
          <w:sz w:val="24"/>
          <w:szCs w:val="24"/>
        </w:rPr>
        <w:instrText xml:space="preserve"> DATE \@ "MMMM d, yyyy" </w:instrText>
      </w:r>
      <w:r w:rsidRPr="00DB2196">
        <w:rPr>
          <w:rFonts w:ascii="Times New Roman" w:eastAsia="Times New Roman" w:hAnsi="Times New Roman" w:cs="Times New Roman"/>
          <w:sz w:val="24"/>
          <w:szCs w:val="24"/>
        </w:rPr>
        <w:fldChar w:fldCharType="separate"/>
      </w:r>
      <w:r w:rsidR="00DB2196" w:rsidRPr="00DB2196">
        <w:rPr>
          <w:rFonts w:ascii="Times New Roman" w:eastAsia="Times New Roman" w:hAnsi="Times New Roman" w:cs="Times New Roman"/>
          <w:noProof/>
          <w:sz w:val="24"/>
          <w:szCs w:val="24"/>
        </w:rPr>
        <w:t>August 4, 2021</w:t>
      </w:r>
      <w:r w:rsidRPr="00DB2196">
        <w:rPr>
          <w:rFonts w:ascii="Times New Roman" w:eastAsia="Times New Roman" w:hAnsi="Times New Roman" w:cs="Times New Roman"/>
          <w:sz w:val="24"/>
          <w:szCs w:val="24"/>
        </w:rPr>
        <w:fldChar w:fldCharType="end"/>
      </w:r>
      <w:r w:rsidR="00B834E6" w:rsidRPr="00DB2196">
        <w:rPr>
          <w:rFonts w:ascii="Times New Roman" w:eastAsia="Times New Roman" w:hAnsi="Times New Roman" w:cs="Times New Roman"/>
          <w:sz w:val="24"/>
          <w:szCs w:val="24"/>
        </w:rPr>
        <w:t xml:space="preserve"> </w:t>
      </w:r>
    </w:p>
    <w:p w14:paraId="1718540B" w14:textId="77777777" w:rsidR="00C03E59" w:rsidRPr="00DB2196" w:rsidRDefault="00C03E59" w:rsidP="00C03E59">
      <w:pPr>
        <w:spacing w:after="0" w:line="480" w:lineRule="auto"/>
        <w:ind w:left="3600" w:firstLine="720"/>
        <w:jc w:val="both"/>
        <w:rPr>
          <w:rFonts w:ascii="Times New Roman" w:eastAsia="Times New Roman" w:hAnsi="Times New Roman" w:cs="Times New Roman"/>
          <w:sz w:val="24"/>
          <w:szCs w:val="24"/>
        </w:rPr>
      </w:pPr>
    </w:p>
    <w:p w14:paraId="30D17E1B" w14:textId="77777777" w:rsidR="00751698" w:rsidRPr="00DB2196" w:rsidRDefault="00751698" w:rsidP="00751698">
      <w:pPr>
        <w:spacing w:after="0" w:line="480" w:lineRule="auto"/>
        <w:ind w:left="4320"/>
        <w:jc w:val="both"/>
        <w:rPr>
          <w:rFonts w:ascii="Times New Roman" w:eastAsia="Times New Roman" w:hAnsi="Times New Roman" w:cs="Times New Roman"/>
          <w:sz w:val="24"/>
          <w:szCs w:val="20"/>
        </w:rPr>
      </w:pPr>
      <w:r w:rsidRPr="00DB2196">
        <w:rPr>
          <w:rFonts w:ascii="Times New Roman" w:eastAsia="Times New Roman" w:hAnsi="Times New Roman" w:cs="Times New Roman"/>
          <w:sz w:val="24"/>
          <w:szCs w:val="20"/>
        </w:rPr>
        <w:t>Respectfully submitted,</w:t>
      </w:r>
    </w:p>
    <w:p w14:paraId="6FDFB097" w14:textId="77777777" w:rsidR="00751698" w:rsidRPr="00DB2196" w:rsidRDefault="00751698" w:rsidP="00751698">
      <w:pPr>
        <w:spacing w:after="0" w:line="240" w:lineRule="auto"/>
        <w:ind w:left="4320"/>
        <w:contextualSpacing/>
        <w:rPr>
          <w:rFonts w:ascii="Times New Roman" w:eastAsia="Times New Roman" w:hAnsi="Times New Roman" w:cs="Times New Roman"/>
          <w:b/>
          <w:sz w:val="24"/>
          <w:szCs w:val="24"/>
        </w:rPr>
      </w:pPr>
      <w:r w:rsidRPr="00DB2196">
        <w:rPr>
          <w:rFonts w:ascii="Times New Roman" w:eastAsia="Times New Roman" w:hAnsi="Times New Roman" w:cs="Times New Roman"/>
          <w:b/>
          <w:sz w:val="24"/>
          <w:szCs w:val="24"/>
        </w:rPr>
        <w:t>PUBLIC UTILITY COMMISSION OF TEXAS LEGAL DIVISION</w:t>
      </w:r>
    </w:p>
    <w:p w14:paraId="73868870" w14:textId="77777777" w:rsidR="00751698" w:rsidRPr="00DB2196"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DB2196" w:rsidRDefault="00751698" w:rsidP="00751698">
      <w:pPr>
        <w:spacing w:after="0" w:line="240" w:lineRule="auto"/>
        <w:contextualSpacing/>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0"/>
        </w:rPr>
        <w:tab/>
      </w:r>
      <w:r w:rsidRPr="00DB2196">
        <w:rPr>
          <w:rFonts w:ascii="Times New Roman" w:eastAsia="Times New Roman" w:hAnsi="Times New Roman" w:cs="Times New Roman"/>
          <w:sz w:val="24"/>
          <w:szCs w:val="20"/>
        </w:rPr>
        <w:tab/>
      </w:r>
      <w:r w:rsidRPr="00DB2196">
        <w:rPr>
          <w:rFonts w:ascii="Times New Roman" w:eastAsia="Times New Roman" w:hAnsi="Times New Roman" w:cs="Times New Roman"/>
          <w:sz w:val="24"/>
          <w:szCs w:val="20"/>
        </w:rPr>
        <w:tab/>
      </w:r>
      <w:r w:rsidRPr="00DB2196">
        <w:rPr>
          <w:rFonts w:ascii="Times New Roman" w:eastAsia="Times New Roman" w:hAnsi="Times New Roman" w:cs="Times New Roman"/>
          <w:sz w:val="24"/>
          <w:szCs w:val="20"/>
        </w:rPr>
        <w:tab/>
      </w:r>
      <w:r w:rsidRPr="00DB2196">
        <w:rPr>
          <w:rFonts w:ascii="Times New Roman" w:eastAsia="Times New Roman" w:hAnsi="Times New Roman" w:cs="Times New Roman"/>
          <w:sz w:val="24"/>
          <w:szCs w:val="20"/>
        </w:rPr>
        <w:tab/>
      </w:r>
      <w:r w:rsidRPr="00DB2196">
        <w:rPr>
          <w:rFonts w:ascii="Times New Roman" w:eastAsia="Times New Roman" w:hAnsi="Times New Roman" w:cs="Times New Roman"/>
          <w:sz w:val="24"/>
          <w:szCs w:val="20"/>
        </w:rPr>
        <w:tab/>
      </w:r>
      <w:r w:rsidRPr="00DB2196">
        <w:rPr>
          <w:rFonts w:ascii="Times New Roman" w:eastAsia="Times New Roman" w:hAnsi="Times New Roman" w:cs="Times New Roman"/>
          <w:sz w:val="24"/>
          <w:szCs w:val="24"/>
        </w:rPr>
        <w:t>Rachelle Nicolette Robles</w:t>
      </w:r>
    </w:p>
    <w:p w14:paraId="5F23F34C" w14:textId="77777777" w:rsidR="00751698" w:rsidRPr="00DB2196" w:rsidRDefault="00751698" w:rsidP="00751698">
      <w:pPr>
        <w:spacing w:after="0" w:line="240" w:lineRule="auto"/>
        <w:contextualSpacing/>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t>Division Director</w:t>
      </w:r>
    </w:p>
    <w:p w14:paraId="0139A173" w14:textId="77777777" w:rsidR="00751698" w:rsidRPr="00DB2196" w:rsidRDefault="00751698" w:rsidP="00751698">
      <w:pPr>
        <w:spacing w:after="0" w:line="240" w:lineRule="auto"/>
        <w:contextualSpacing/>
        <w:jc w:val="both"/>
        <w:rPr>
          <w:rFonts w:ascii="Times New Roman" w:eastAsia="Times New Roman" w:hAnsi="Times New Roman" w:cs="Times New Roman"/>
          <w:sz w:val="24"/>
          <w:szCs w:val="24"/>
        </w:rPr>
      </w:pPr>
    </w:p>
    <w:p w14:paraId="1AF36F67" w14:textId="651EDCBF" w:rsidR="00751698" w:rsidRPr="00DB2196" w:rsidRDefault="00DE3091" w:rsidP="00751698">
      <w:pPr>
        <w:spacing w:after="0" w:line="240" w:lineRule="auto"/>
        <w:ind w:left="4320"/>
        <w:jc w:val="both"/>
        <w:rPr>
          <w:rFonts w:ascii="Times New Roman" w:eastAsia="Times New Roman" w:hAnsi="Times New Roman" w:cs="Times New Roman"/>
          <w:sz w:val="24"/>
          <w:szCs w:val="20"/>
        </w:rPr>
      </w:pPr>
      <w:r w:rsidRPr="00DB2196">
        <w:rPr>
          <w:rFonts w:ascii="Times New Roman" w:eastAsia="Times New Roman" w:hAnsi="Times New Roman" w:cs="Times New Roman"/>
          <w:sz w:val="24"/>
          <w:szCs w:val="20"/>
        </w:rPr>
        <w:t>Eleanor D’Ambrosio</w:t>
      </w:r>
    </w:p>
    <w:p w14:paraId="080585DC" w14:textId="77777777" w:rsidR="00751698" w:rsidRPr="00DB2196" w:rsidRDefault="00751698" w:rsidP="00751698">
      <w:pPr>
        <w:spacing w:after="0" w:line="240" w:lineRule="auto"/>
        <w:ind w:left="4320"/>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Managing Attorney</w:t>
      </w:r>
    </w:p>
    <w:p w14:paraId="56ECF3D1" w14:textId="77777777" w:rsidR="00751698" w:rsidRPr="00DB2196"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DB2196" w:rsidRDefault="00751698" w:rsidP="00751698">
      <w:pPr>
        <w:spacing w:after="0" w:line="240" w:lineRule="auto"/>
        <w:jc w:val="both"/>
        <w:rPr>
          <w:rFonts w:ascii="Times New Roman" w:eastAsia="Times New Roman" w:hAnsi="Times New Roman" w:cs="Times New Roman"/>
          <w:sz w:val="24"/>
          <w:szCs w:val="24"/>
        </w:rPr>
      </w:pPr>
    </w:p>
    <w:p w14:paraId="07D9AA72" w14:textId="2B6C4019" w:rsidR="00751698" w:rsidRPr="00DB2196"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DB2196">
        <w:rPr>
          <w:rFonts w:ascii="Times New Roman" w:eastAsia="Times New Roman" w:hAnsi="Times New Roman" w:cs="Times New Roman"/>
          <w:i/>
          <w:iCs/>
          <w:sz w:val="24"/>
          <w:szCs w:val="24"/>
          <w:u w:val="single"/>
        </w:rPr>
        <w:t>/s/ Kevin R. Bartz_____</w:t>
      </w:r>
    </w:p>
    <w:p w14:paraId="446C8A71" w14:textId="1FAD3B8A"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009F2B05" w:rsidRPr="00DB2196">
        <w:rPr>
          <w:rFonts w:ascii="Times New Roman" w:eastAsia="Times New Roman" w:hAnsi="Times New Roman" w:cs="Times New Roman"/>
          <w:sz w:val="24"/>
          <w:szCs w:val="24"/>
        </w:rPr>
        <w:t>Kevin R. Bartz</w:t>
      </w:r>
    </w:p>
    <w:p w14:paraId="1307DF47" w14:textId="54192469"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t>State Bar No. 241</w:t>
      </w:r>
      <w:r w:rsidR="009F2B05" w:rsidRPr="00DB2196">
        <w:rPr>
          <w:rFonts w:ascii="Times New Roman" w:eastAsia="Times New Roman" w:hAnsi="Times New Roman" w:cs="Times New Roman"/>
          <w:sz w:val="24"/>
          <w:szCs w:val="24"/>
        </w:rPr>
        <w:t>01488</w:t>
      </w:r>
    </w:p>
    <w:p w14:paraId="300D728C" w14:textId="77777777"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t>1701 N. Congress Avenue</w:t>
      </w:r>
    </w:p>
    <w:p w14:paraId="0EF030D7" w14:textId="77777777"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t>P.O. Box 13326</w:t>
      </w:r>
    </w:p>
    <w:p w14:paraId="2F8E62A0" w14:textId="77777777"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t>Austin, Texas 78711-3326</w:t>
      </w:r>
    </w:p>
    <w:p w14:paraId="046A68A6" w14:textId="08DCDEE4"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t>(512) 936-</w:t>
      </w:r>
      <w:r w:rsidR="009F2B05" w:rsidRPr="00DB2196">
        <w:rPr>
          <w:rFonts w:ascii="Times New Roman" w:eastAsia="Times New Roman" w:hAnsi="Times New Roman" w:cs="Times New Roman"/>
          <w:sz w:val="24"/>
          <w:szCs w:val="24"/>
        </w:rPr>
        <w:t>7203</w:t>
      </w:r>
    </w:p>
    <w:p w14:paraId="013D5797" w14:textId="77777777"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t>(512) 936-7268 (facsimile)</w:t>
      </w:r>
    </w:p>
    <w:p w14:paraId="2955E092" w14:textId="51095684" w:rsidR="00751698" w:rsidRPr="00DB2196" w:rsidRDefault="00751698" w:rsidP="00751698">
      <w:pPr>
        <w:spacing w:after="0" w:line="240" w:lineRule="auto"/>
        <w:jc w:val="both"/>
        <w:rPr>
          <w:rFonts w:ascii="Times New Roman" w:eastAsia="Times New Roman" w:hAnsi="Times New Roman" w:cs="Times New Roman"/>
          <w:sz w:val="24"/>
          <w:szCs w:val="24"/>
        </w:rPr>
      </w:pP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Pr="00DB2196">
        <w:rPr>
          <w:rFonts w:ascii="Times New Roman" w:eastAsia="Times New Roman" w:hAnsi="Times New Roman" w:cs="Times New Roman"/>
          <w:sz w:val="24"/>
          <w:szCs w:val="24"/>
        </w:rPr>
        <w:tab/>
      </w:r>
      <w:r w:rsidR="009F2B05" w:rsidRPr="00DB2196">
        <w:rPr>
          <w:rFonts w:ascii="Times New Roman" w:eastAsia="Times New Roman" w:hAnsi="Times New Roman" w:cs="Times New Roman"/>
          <w:sz w:val="24"/>
          <w:szCs w:val="24"/>
        </w:rPr>
        <w:t>kevin</w:t>
      </w:r>
      <w:r w:rsidRPr="00DB2196">
        <w:rPr>
          <w:rFonts w:ascii="Times New Roman" w:eastAsia="Times New Roman" w:hAnsi="Times New Roman" w:cs="Times New Roman"/>
          <w:sz w:val="24"/>
          <w:szCs w:val="24"/>
        </w:rPr>
        <w:t>.</w:t>
      </w:r>
      <w:r w:rsidR="009F2B05" w:rsidRPr="00DB2196">
        <w:rPr>
          <w:rFonts w:ascii="Times New Roman" w:eastAsia="Times New Roman" w:hAnsi="Times New Roman" w:cs="Times New Roman"/>
          <w:sz w:val="24"/>
          <w:szCs w:val="24"/>
        </w:rPr>
        <w:t>bartz</w:t>
      </w:r>
      <w:r w:rsidRPr="00DB2196">
        <w:rPr>
          <w:rFonts w:ascii="Times New Roman" w:eastAsia="Times New Roman" w:hAnsi="Times New Roman" w:cs="Times New Roman"/>
          <w:sz w:val="24"/>
          <w:szCs w:val="24"/>
        </w:rPr>
        <w:t>@puc.texas.gov</w:t>
      </w:r>
    </w:p>
    <w:p w14:paraId="7BCC2129" w14:textId="77777777" w:rsidR="0058466F" w:rsidRPr="00DB2196" w:rsidRDefault="0058466F" w:rsidP="00A11339">
      <w:pPr>
        <w:spacing w:after="0" w:line="240" w:lineRule="auto"/>
        <w:rPr>
          <w:rFonts w:ascii="Times New Roman" w:eastAsia="Times New Roman" w:hAnsi="Times New Roman" w:cs="Times New Roman"/>
          <w:b/>
          <w:caps/>
          <w:sz w:val="24"/>
          <w:szCs w:val="24"/>
        </w:rPr>
      </w:pPr>
    </w:p>
    <w:p w14:paraId="0C3A1ADC" w14:textId="514260F2" w:rsidR="009F2B05" w:rsidRPr="00DB2196" w:rsidRDefault="009F2B05" w:rsidP="00362BB2">
      <w:pPr>
        <w:spacing w:after="0" w:line="240" w:lineRule="auto"/>
        <w:rPr>
          <w:rFonts w:ascii="Times New Roman" w:eastAsia="Times New Roman" w:hAnsi="Times New Roman" w:cs="Times New Roman"/>
          <w:b/>
          <w:caps/>
          <w:sz w:val="24"/>
          <w:szCs w:val="24"/>
        </w:rPr>
      </w:pPr>
    </w:p>
    <w:p w14:paraId="287AF17E" w14:textId="0F8F428C" w:rsidR="009F2B05" w:rsidRPr="00DB2196" w:rsidRDefault="009F2B05" w:rsidP="00362BB2">
      <w:pPr>
        <w:spacing w:after="0" w:line="240" w:lineRule="auto"/>
        <w:rPr>
          <w:rFonts w:ascii="Times New Roman" w:eastAsia="Times New Roman" w:hAnsi="Times New Roman" w:cs="Times New Roman"/>
          <w:b/>
          <w:caps/>
          <w:sz w:val="24"/>
          <w:szCs w:val="24"/>
        </w:rPr>
      </w:pPr>
    </w:p>
    <w:p w14:paraId="5606DD1A" w14:textId="77777777" w:rsidR="00DD5D8C" w:rsidRPr="00DB2196" w:rsidRDefault="00DD5D8C" w:rsidP="00C03E59">
      <w:pPr>
        <w:spacing w:after="0" w:line="240" w:lineRule="auto"/>
        <w:jc w:val="center"/>
        <w:rPr>
          <w:rFonts w:ascii="Times New Roman" w:eastAsia="Times New Roman" w:hAnsi="Times New Roman" w:cs="Times New Roman"/>
          <w:b/>
          <w:caps/>
          <w:sz w:val="24"/>
          <w:szCs w:val="24"/>
        </w:rPr>
      </w:pPr>
    </w:p>
    <w:p w14:paraId="59DF8195" w14:textId="2FCEA28D" w:rsidR="00C03E59" w:rsidRPr="00DB2196" w:rsidRDefault="00C03E59" w:rsidP="00C03E59">
      <w:pPr>
        <w:spacing w:after="0" w:line="240" w:lineRule="auto"/>
        <w:jc w:val="center"/>
        <w:rPr>
          <w:rFonts w:ascii="Times New Roman" w:eastAsia="Times New Roman" w:hAnsi="Times New Roman" w:cs="Times New Roman"/>
          <w:b/>
          <w:caps/>
          <w:sz w:val="24"/>
          <w:szCs w:val="24"/>
        </w:rPr>
      </w:pPr>
      <w:r w:rsidRPr="00DB2196">
        <w:rPr>
          <w:rFonts w:ascii="Times New Roman" w:eastAsia="Times New Roman" w:hAnsi="Times New Roman" w:cs="Times New Roman"/>
          <w:b/>
          <w:caps/>
          <w:sz w:val="24"/>
          <w:szCs w:val="24"/>
        </w:rPr>
        <w:t>DOCKET NO.</w:t>
      </w:r>
      <w:r w:rsidR="00402235" w:rsidRPr="00DB2196">
        <w:rPr>
          <w:rFonts w:ascii="Times New Roman" w:eastAsia="Times New Roman" w:hAnsi="Times New Roman" w:cs="Times New Roman"/>
          <w:b/>
          <w:caps/>
          <w:sz w:val="24"/>
          <w:szCs w:val="24"/>
        </w:rPr>
        <w:t xml:space="preserve"> </w:t>
      </w:r>
      <w:r w:rsidR="00916209" w:rsidRPr="00DB2196">
        <w:rPr>
          <w:rFonts w:ascii="Times New Roman" w:eastAsia="Times New Roman" w:hAnsi="Times New Roman" w:cs="Times New Roman"/>
          <w:b/>
          <w:caps/>
          <w:sz w:val="24"/>
          <w:szCs w:val="24"/>
        </w:rPr>
        <w:t>50569</w:t>
      </w:r>
    </w:p>
    <w:p w14:paraId="6E7B2078" w14:textId="77777777" w:rsidR="00C03E59" w:rsidRPr="00DB2196"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DB2196" w:rsidRDefault="00C03E59" w:rsidP="00C03E59">
      <w:pPr>
        <w:keepNext/>
        <w:spacing w:after="0" w:line="360" w:lineRule="auto"/>
        <w:jc w:val="center"/>
        <w:rPr>
          <w:rFonts w:ascii="Times New Roman" w:eastAsia="Times New Roman" w:hAnsi="Times New Roman" w:cs="Times New Roman"/>
          <w:b/>
          <w:sz w:val="24"/>
          <w:szCs w:val="24"/>
        </w:rPr>
      </w:pPr>
      <w:r w:rsidRPr="00DB2196">
        <w:rPr>
          <w:rFonts w:ascii="Times New Roman" w:eastAsia="Times New Roman" w:hAnsi="Times New Roman" w:cs="Times New Roman"/>
          <w:b/>
          <w:sz w:val="24"/>
          <w:szCs w:val="24"/>
        </w:rPr>
        <w:t>CERTIFICATE OF SERVICE</w:t>
      </w:r>
    </w:p>
    <w:p w14:paraId="1B8F14E0" w14:textId="01C13374" w:rsidR="00751698" w:rsidRPr="00DB2196"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DB2196">
        <w:rPr>
          <w:rFonts w:ascii="Times New Roman" w:eastAsia="Times New Roman" w:hAnsi="Times New Roman" w:cs="Times New Roman"/>
          <w:sz w:val="24"/>
          <w:szCs w:val="24"/>
        </w:rPr>
        <w:t>I</w:t>
      </w:r>
      <w:r w:rsidRPr="00DB219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B2196">
        <w:rPr>
          <w:rFonts w:ascii="Times New Roman" w:eastAsia="Times New Roman" w:hAnsi="Times New Roman" w:cs="Times New Roman"/>
          <w:sz w:val="24"/>
          <w:szCs w:val="24"/>
        </w:rPr>
        <w:t xml:space="preserve"> </w:t>
      </w:r>
      <w:r w:rsidRPr="00DB2196">
        <w:rPr>
          <w:rFonts w:ascii="Times New Roman" w:eastAsia="Times New Roman" w:hAnsi="Times New Roman" w:cs="Times New Roman"/>
          <w:sz w:val="24"/>
          <w:szCs w:val="24"/>
        </w:rPr>
        <w:fldChar w:fldCharType="begin"/>
      </w:r>
      <w:r w:rsidRPr="00DB2196">
        <w:rPr>
          <w:rFonts w:ascii="Times New Roman" w:eastAsia="Times New Roman" w:hAnsi="Times New Roman" w:cs="Times New Roman"/>
          <w:sz w:val="24"/>
          <w:szCs w:val="24"/>
        </w:rPr>
        <w:instrText xml:space="preserve"> DATE \@ "MMMM d, yyyy" </w:instrText>
      </w:r>
      <w:r w:rsidRPr="00DB2196">
        <w:rPr>
          <w:rFonts w:ascii="Times New Roman" w:eastAsia="Times New Roman" w:hAnsi="Times New Roman" w:cs="Times New Roman"/>
          <w:sz w:val="24"/>
          <w:szCs w:val="24"/>
        </w:rPr>
        <w:fldChar w:fldCharType="separate"/>
      </w:r>
      <w:r w:rsidR="00DB2196" w:rsidRPr="00DB2196">
        <w:rPr>
          <w:rFonts w:ascii="Times New Roman" w:eastAsia="Times New Roman" w:hAnsi="Times New Roman" w:cs="Times New Roman"/>
          <w:noProof/>
          <w:sz w:val="24"/>
          <w:szCs w:val="24"/>
        </w:rPr>
        <w:t>August 4, 2021</w:t>
      </w:r>
      <w:r w:rsidRPr="00DB2196">
        <w:rPr>
          <w:rFonts w:ascii="Times New Roman" w:eastAsia="Times New Roman" w:hAnsi="Times New Roman" w:cs="Times New Roman"/>
          <w:sz w:val="24"/>
          <w:szCs w:val="24"/>
        </w:rPr>
        <w:fldChar w:fldCharType="end"/>
      </w:r>
      <w:r w:rsidRPr="00DB2196">
        <w:rPr>
          <w:rFonts w:ascii="Times New Roman" w:eastAsia="Times New Roman" w:hAnsi="Times New Roman" w:cs="Times New Roman"/>
          <w:color w:val="0D0D0D"/>
          <w:sz w:val="24"/>
          <w:szCs w:val="24"/>
        </w:rPr>
        <w:t>, in accordance with the Order Suspending Rules, issued in Project No. 50664.</w:t>
      </w:r>
    </w:p>
    <w:p w14:paraId="7C1EFC81" w14:textId="77777777" w:rsidR="00C03E59" w:rsidRPr="00DB2196" w:rsidRDefault="00C03E59" w:rsidP="00C03E59">
      <w:pPr>
        <w:keepNext/>
        <w:spacing w:after="0" w:line="360" w:lineRule="auto"/>
        <w:ind w:firstLine="720"/>
        <w:jc w:val="both"/>
        <w:rPr>
          <w:rFonts w:ascii="Times New Roman" w:eastAsia="Times New Roman" w:hAnsi="Times New Roman" w:cs="Times New Roman"/>
          <w:sz w:val="24"/>
          <w:szCs w:val="24"/>
        </w:rPr>
      </w:pPr>
    </w:p>
    <w:p w14:paraId="3078967F" w14:textId="77131BCA" w:rsidR="00751698" w:rsidRPr="00DB2196"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2" w:name="_Hlk48039240"/>
      <w:r w:rsidRPr="00DB2196">
        <w:rPr>
          <w:rFonts w:ascii="Times New Roman" w:eastAsia="Times New Roman" w:hAnsi="Times New Roman" w:cs="Times New Roman"/>
          <w:i/>
          <w:iCs/>
          <w:sz w:val="24"/>
          <w:szCs w:val="24"/>
          <w:u w:val="single"/>
        </w:rPr>
        <w:t>/s/ Kevin R. Bartz_____</w:t>
      </w:r>
    </w:p>
    <w:bookmarkEnd w:id="2"/>
    <w:p w14:paraId="1D325B68" w14:textId="5B1158D8" w:rsidR="00751698" w:rsidRPr="00201E03" w:rsidRDefault="006A36D0" w:rsidP="00751698">
      <w:pPr>
        <w:spacing w:after="0" w:line="240" w:lineRule="auto"/>
        <w:ind w:left="4320"/>
        <w:jc w:val="both"/>
        <w:rPr>
          <w:rFonts w:ascii="Times New Roman" w:eastAsia="Calibri" w:hAnsi="Times New Roman" w:cs="Times New Roman"/>
          <w:sz w:val="24"/>
          <w:szCs w:val="24"/>
        </w:rPr>
      </w:pPr>
      <w:r w:rsidRPr="00DB2196">
        <w:rPr>
          <w:rFonts w:ascii="Times New Roman" w:eastAsia="Times New Roman" w:hAnsi="Times New Roman" w:cs="Times New Roman"/>
          <w:sz w:val="24"/>
          <w:szCs w:val="24"/>
        </w:rPr>
        <w:t>Kevin R. Bartz</w:t>
      </w:r>
    </w:p>
    <w:p w14:paraId="73AA2579" w14:textId="77777777" w:rsidR="00030E3D" w:rsidRDefault="00030E3D"/>
    <w:sectPr w:rsidR="00030E3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4AEAA" w14:textId="77777777" w:rsidR="00CB6C32" w:rsidRDefault="00CB6C32" w:rsidP="00703DF4">
      <w:pPr>
        <w:spacing w:after="0" w:line="240" w:lineRule="auto"/>
      </w:pPr>
      <w:r>
        <w:separator/>
      </w:r>
    </w:p>
  </w:endnote>
  <w:endnote w:type="continuationSeparator" w:id="0">
    <w:p w14:paraId="24D3873F" w14:textId="77777777" w:rsidR="00CB6C32" w:rsidRDefault="00CB6C32"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4447131"/>
      <w:docPartObj>
        <w:docPartGallery w:val="Page Numbers (Bottom of Page)"/>
        <w:docPartUnique/>
      </w:docPartObj>
    </w:sdtPr>
    <w:sdtEndPr>
      <w:rPr>
        <w:rFonts w:ascii="Times New Roman" w:hAnsi="Times New Roman" w:cs="Times New Roman"/>
        <w:noProof/>
        <w:sz w:val="20"/>
        <w:szCs w:val="20"/>
      </w:rPr>
    </w:sdtEndPr>
    <w:sdtContent>
      <w:p w14:paraId="0760FB31" w14:textId="11E624F4" w:rsidR="00A15668" w:rsidRPr="00A15668" w:rsidRDefault="00A15668">
        <w:pPr>
          <w:pStyle w:val="Footer"/>
          <w:jc w:val="center"/>
          <w:rPr>
            <w:rFonts w:ascii="Times New Roman" w:hAnsi="Times New Roman" w:cs="Times New Roman"/>
            <w:sz w:val="20"/>
            <w:szCs w:val="20"/>
          </w:rPr>
        </w:pPr>
        <w:r w:rsidRPr="00A15668">
          <w:rPr>
            <w:rFonts w:ascii="Times New Roman" w:hAnsi="Times New Roman" w:cs="Times New Roman"/>
            <w:sz w:val="20"/>
            <w:szCs w:val="20"/>
          </w:rPr>
          <w:fldChar w:fldCharType="begin"/>
        </w:r>
        <w:r w:rsidRPr="00A15668">
          <w:rPr>
            <w:rFonts w:ascii="Times New Roman" w:hAnsi="Times New Roman" w:cs="Times New Roman"/>
            <w:sz w:val="20"/>
            <w:szCs w:val="20"/>
          </w:rPr>
          <w:instrText xml:space="preserve"> PAGE   \* MERGEFORMAT </w:instrText>
        </w:r>
        <w:r w:rsidRPr="00A15668">
          <w:rPr>
            <w:rFonts w:ascii="Times New Roman" w:hAnsi="Times New Roman" w:cs="Times New Roman"/>
            <w:sz w:val="20"/>
            <w:szCs w:val="20"/>
          </w:rPr>
          <w:fldChar w:fldCharType="separate"/>
        </w:r>
        <w:r w:rsidRPr="00A15668">
          <w:rPr>
            <w:rFonts w:ascii="Times New Roman" w:hAnsi="Times New Roman" w:cs="Times New Roman"/>
            <w:noProof/>
            <w:sz w:val="20"/>
            <w:szCs w:val="20"/>
          </w:rPr>
          <w:t>2</w:t>
        </w:r>
        <w:r w:rsidRPr="00A15668">
          <w:rPr>
            <w:rFonts w:ascii="Times New Roman" w:hAnsi="Times New Roman" w:cs="Times New Roman"/>
            <w:noProof/>
            <w:sz w:val="20"/>
            <w:szCs w:val="20"/>
          </w:rPr>
          <w:fldChar w:fldCharType="end"/>
        </w:r>
      </w:p>
    </w:sdtContent>
  </w:sdt>
  <w:p w14:paraId="1B39090A" w14:textId="77777777" w:rsidR="00A15668" w:rsidRDefault="00A15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BDCF9" w14:textId="77777777" w:rsidR="00CB6C32" w:rsidRDefault="00CB6C32" w:rsidP="00703DF4">
      <w:pPr>
        <w:spacing w:after="0" w:line="240" w:lineRule="auto"/>
      </w:pPr>
      <w:r>
        <w:separator/>
      </w:r>
    </w:p>
  </w:footnote>
  <w:footnote w:type="continuationSeparator" w:id="0">
    <w:p w14:paraId="0D6099D3" w14:textId="77777777" w:rsidR="00CB6C32" w:rsidRDefault="00CB6C32" w:rsidP="00703DF4">
      <w:pPr>
        <w:spacing w:after="0" w:line="240" w:lineRule="auto"/>
      </w:pPr>
      <w:r>
        <w:continuationSeparator/>
      </w:r>
    </w:p>
  </w:footnote>
  <w:footnote w:id="1">
    <w:p w14:paraId="3A96EBB2" w14:textId="0CF43BF3" w:rsidR="00084A3A" w:rsidRPr="00F261A1" w:rsidRDefault="00084A3A" w:rsidP="00DB2196">
      <w:pPr>
        <w:pStyle w:val="FootnoteText"/>
        <w:spacing w:after="120"/>
        <w:ind w:firstLine="720"/>
        <w:rPr>
          <w:rFonts w:ascii="Times New Roman" w:hAnsi="Times New Roman" w:cs="Times New Roman"/>
          <w:i/>
          <w:iCs/>
        </w:rPr>
      </w:pPr>
      <w:r w:rsidRPr="00F261A1">
        <w:rPr>
          <w:rStyle w:val="FootnoteReference"/>
          <w:rFonts w:ascii="Times New Roman" w:hAnsi="Times New Roman" w:cs="Times New Roman"/>
        </w:rPr>
        <w:footnoteRef/>
      </w:r>
      <w:r w:rsidRPr="00F261A1">
        <w:rPr>
          <w:rFonts w:ascii="Times New Roman" w:hAnsi="Times New Roman" w:cs="Times New Roman"/>
        </w:rPr>
        <w:t xml:space="preserve"> </w:t>
      </w:r>
      <w:r w:rsidRPr="00DB2196">
        <w:rPr>
          <w:rFonts w:ascii="Times New Roman" w:hAnsi="Times New Roman" w:cs="Times New Roman"/>
        </w:rPr>
        <w:t xml:space="preserve">Application of MSEC Waste Water, Inc. for Authority to Change Rates at Schedules I-1 and III-1 (Mar. </w:t>
      </w:r>
      <w:r w:rsidR="00DB5BDC">
        <w:rPr>
          <w:rFonts w:ascii="Times New Roman" w:hAnsi="Times New Roman" w:cs="Times New Roman"/>
        </w:rPr>
        <w:t>9</w:t>
      </w:r>
      <w:r w:rsidRPr="00DB2196">
        <w:rPr>
          <w:rFonts w:ascii="Times New Roman" w:hAnsi="Times New Roman" w:cs="Times New Roman"/>
        </w:rPr>
        <w:t>, 2020)</w:t>
      </w:r>
      <w:r w:rsidR="00DB5BDC">
        <w:rPr>
          <w:rFonts w:ascii="Times New Roman" w:hAnsi="Times New Roman" w:cs="Times New Roman"/>
        </w:rPr>
        <w:t xml:space="preserve"> (Application)</w:t>
      </w:r>
      <w:r w:rsidRPr="00DB2196">
        <w:rPr>
          <w:rFonts w:ascii="Times New Roman" w:hAnsi="Times New Roman" w:cs="Times New Roman"/>
        </w:rPr>
        <w:t>.</w:t>
      </w:r>
    </w:p>
  </w:footnote>
  <w:footnote w:id="2">
    <w:p w14:paraId="20B9CF55" w14:textId="0ABC997B" w:rsidR="00AB3293" w:rsidRPr="00F261A1" w:rsidRDefault="00AB3293" w:rsidP="00DB2196">
      <w:pPr>
        <w:pStyle w:val="FootnoteText"/>
        <w:spacing w:after="120"/>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Order No. 1</w:t>
      </w:r>
      <w:r w:rsidR="002667A1">
        <w:rPr>
          <w:rFonts w:ascii="Times New Roman" w:hAnsi="Times New Roman" w:cs="Times New Roman"/>
        </w:rPr>
        <w:t>6</w:t>
      </w:r>
      <w:r w:rsidRPr="00F261A1">
        <w:rPr>
          <w:rFonts w:ascii="Times New Roman" w:hAnsi="Times New Roman" w:cs="Times New Roman"/>
        </w:rPr>
        <w:t xml:space="preserve"> </w:t>
      </w:r>
      <w:r w:rsidR="002667A1">
        <w:rPr>
          <w:rFonts w:ascii="Times New Roman" w:hAnsi="Times New Roman" w:cs="Times New Roman"/>
        </w:rPr>
        <w:t xml:space="preserve">Granting Extension Request </w:t>
      </w:r>
      <w:r w:rsidR="00A7789A" w:rsidRPr="00F261A1">
        <w:rPr>
          <w:rFonts w:ascii="Times New Roman" w:hAnsi="Times New Roman" w:cs="Times New Roman"/>
        </w:rPr>
        <w:t xml:space="preserve">(Jul. </w:t>
      </w:r>
      <w:r w:rsidR="002667A1">
        <w:rPr>
          <w:rFonts w:ascii="Times New Roman" w:hAnsi="Times New Roman" w:cs="Times New Roman"/>
        </w:rPr>
        <w:t>22</w:t>
      </w:r>
      <w:r w:rsidR="00A7789A" w:rsidRPr="00F261A1">
        <w:rPr>
          <w:rFonts w:ascii="Times New Roman" w:hAnsi="Times New Roman" w:cs="Times New Roman"/>
        </w:rPr>
        <w:t>, 2021) (</w:t>
      </w:r>
      <w:r w:rsidRPr="00F261A1">
        <w:rPr>
          <w:rFonts w:ascii="Times New Roman" w:hAnsi="Times New Roman" w:cs="Times New Roman"/>
        </w:rPr>
        <w:t>citing 16 TAC § 24.35(c)(1)</w:t>
      </w:r>
      <w:r w:rsidR="00A7789A" w:rsidRPr="00F261A1">
        <w:rPr>
          <w:rFonts w:ascii="Times New Roman" w:hAnsi="Times New Roman" w:cs="Times New Roman"/>
        </w:rPr>
        <w:t>)</w:t>
      </w:r>
      <w:r w:rsidRPr="00F261A1">
        <w:rPr>
          <w:rFonts w:ascii="Times New Roman" w:hAnsi="Times New Roman" w:cs="Times New Roman"/>
        </w:rPr>
        <w:t>.</w:t>
      </w:r>
    </w:p>
  </w:footnote>
  <w:footnote w:id="3">
    <w:p w14:paraId="0B0C6FF1" w14:textId="119576A2" w:rsidR="0046347D" w:rsidRPr="00F261A1" w:rsidRDefault="0046347D" w:rsidP="0046347D">
      <w:pPr>
        <w:pStyle w:val="FootnoteText"/>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TWC § 13.002(4-d).</w:t>
      </w:r>
    </w:p>
  </w:footnote>
  <w:footnote w:id="4">
    <w:p w14:paraId="6A7B3350" w14:textId="09E857D3" w:rsidR="0046347D" w:rsidRPr="00F261A1" w:rsidRDefault="0046347D" w:rsidP="00DB2196">
      <w:pPr>
        <w:pStyle w:val="FootnoteText"/>
        <w:spacing w:after="120"/>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TWC § 13.18</w:t>
      </w:r>
      <w:r w:rsidR="0086304D" w:rsidRPr="00F261A1">
        <w:rPr>
          <w:rFonts w:ascii="Times New Roman" w:hAnsi="Times New Roman" w:cs="Times New Roman"/>
        </w:rPr>
        <w:t>5(b)</w:t>
      </w:r>
      <w:r w:rsidRPr="00F261A1">
        <w:rPr>
          <w:rFonts w:ascii="Times New Roman" w:hAnsi="Times New Roman" w:cs="Times New Roman"/>
        </w:rPr>
        <w:t>.</w:t>
      </w:r>
    </w:p>
  </w:footnote>
  <w:footnote w:id="5">
    <w:p w14:paraId="5641FF6E" w14:textId="6D8C5689" w:rsidR="0046347D" w:rsidRPr="00F261A1" w:rsidRDefault="0046347D" w:rsidP="00DB2196">
      <w:pPr>
        <w:pStyle w:val="FootnoteText"/>
        <w:spacing w:after="120"/>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w:t>
      </w:r>
      <w:r w:rsidR="0086304D" w:rsidRPr="00F261A1">
        <w:rPr>
          <w:rFonts w:ascii="Times New Roman" w:hAnsi="Times New Roman" w:cs="Times New Roman"/>
        </w:rPr>
        <w:t>16 TAC § 24.41(b).</w:t>
      </w:r>
    </w:p>
  </w:footnote>
  <w:footnote w:id="6">
    <w:p w14:paraId="52EB6AD5" w14:textId="5AEF7FA5" w:rsidR="0046347D" w:rsidRPr="00F261A1" w:rsidRDefault="0046347D" w:rsidP="00DB2196">
      <w:pPr>
        <w:pStyle w:val="FootnoteText"/>
        <w:spacing w:after="120"/>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TWC § 13.182(a)(1).</w:t>
      </w:r>
    </w:p>
  </w:footnote>
  <w:footnote w:id="7">
    <w:p w14:paraId="26E2F9C4" w14:textId="6CD8360A" w:rsidR="0046347D" w:rsidRPr="00F261A1" w:rsidRDefault="0046347D" w:rsidP="00DB2196">
      <w:pPr>
        <w:pStyle w:val="FootnoteText"/>
        <w:spacing w:after="120"/>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TWC § 13.182(a)(2).</w:t>
      </w:r>
    </w:p>
  </w:footnote>
  <w:footnote w:id="8">
    <w:p w14:paraId="4CC5365B" w14:textId="3A0EAF88" w:rsidR="0046347D" w:rsidRPr="00F261A1" w:rsidRDefault="0046347D" w:rsidP="00DB2196">
      <w:pPr>
        <w:pStyle w:val="FootnoteText"/>
        <w:spacing w:after="120"/>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TWC § 13.1832(a).</w:t>
      </w:r>
    </w:p>
  </w:footnote>
  <w:footnote w:id="9">
    <w:p w14:paraId="25BB2EED" w14:textId="515F5B03" w:rsidR="0046347D" w:rsidRPr="00F261A1" w:rsidRDefault="0046347D" w:rsidP="00DB2196">
      <w:pPr>
        <w:pStyle w:val="FootnoteText"/>
        <w:spacing w:after="120"/>
        <w:ind w:firstLine="720"/>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TWC § 13.1832(b).</w:t>
      </w:r>
    </w:p>
  </w:footnote>
  <w:footnote w:id="10">
    <w:p w14:paraId="1BADA415" w14:textId="4093F07A" w:rsidR="00AC4A7A" w:rsidRDefault="00AC4A7A" w:rsidP="00AC4A7A">
      <w:pPr>
        <w:pStyle w:val="FootnoteText"/>
        <w:spacing w:after="120"/>
        <w:ind w:firstLine="720"/>
        <w:jc w:val="both"/>
      </w:pPr>
      <w:r w:rsidRPr="00AC4A7A">
        <w:rPr>
          <w:rStyle w:val="FootnoteReference"/>
          <w:rFonts w:ascii="Times New Roman" w:hAnsi="Times New Roman" w:cs="Times New Roman"/>
        </w:rPr>
        <w:footnoteRef/>
      </w:r>
      <w:r w:rsidRPr="00AC4A7A">
        <w:rPr>
          <w:rFonts w:ascii="Times New Roman" w:hAnsi="Times New Roman" w:cs="Times New Roman"/>
        </w:rPr>
        <w:t xml:space="preserve"> </w:t>
      </w:r>
      <w:r w:rsidRPr="00793374">
        <w:rPr>
          <w:rFonts w:ascii="Times New Roman" w:hAnsi="Times New Roman" w:cs="Times New Roman"/>
        </w:rPr>
        <w:t xml:space="preserve">MSEC’s </w:t>
      </w:r>
      <w:r>
        <w:rPr>
          <w:rFonts w:ascii="Times New Roman" w:hAnsi="Times New Roman" w:cs="Times New Roman"/>
        </w:rPr>
        <w:t>Waste Water, Inc.’s Second Supplement to Application at 009 (Jul. 20, 2021).</w:t>
      </w:r>
    </w:p>
  </w:footnote>
  <w:footnote w:id="11">
    <w:p w14:paraId="7CAE5B36" w14:textId="648AE801" w:rsidR="00C20F43" w:rsidRDefault="00C20F43" w:rsidP="00DB2196">
      <w:pPr>
        <w:pStyle w:val="FootnoteText"/>
        <w:spacing w:after="120"/>
      </w:pPr>
      <w:r>
        <w:tab/>
      </w:r>
      <w:r w:rsidRPr="00DD508B">
        <w:rPr>
          <w:rStyle w:val="FootnoteReference"/>
          <w:rFonts w:ascii="Times New Roman" w:hAnsi="Times New Roman" w:cs="Times New Roman"/>
        </w:rPr>
        <w:footnoteRef/>
      </w:r>
      <w:r>
        <w:t xml:space="preserve"> </w:t>
      </w:r>
      <w:r w:rsidRPr="00DD508B">
        <w:rPr>
          <w:rFonts w:ascii="Times New Roman" w:hAnsi="Times New Roman" w:cs="Times New Roman"/>
          <w:i/>
          <w:iCs/>
        </w:rPr>
        <w:t>See</w:t>
      </w:r>
      <w:r w:rsidRPr="00DD508B">
        <w:rPr>
          <w:rFonts w:ascii="Times New Roman" w:hAnsi="Times New Roman" w:cs="Times New Roman"/>
        </w:rPr>
        <w:t xml:space="preserve"> </w:t>
      </w:r>
      <w:r w:rsidRPr="00F261A1">
        <w:rPr>
          <w:rFonts w:ascii="Times New Roman" w:hAnsi="Times New Roman" w:cs="Times New Roman"/>
        </w:rPr>
        <w:t>O</w:t>
      </w:r>
      <w:r>
        <w:rPr>
          <w:rFonts w:ascii="Times New Roman" w:hAnsi="Times New Roman" w:cs="Times New Roman"/>
        </w:rPr>
        <w:t>r</w:t>
      </w:r>
      <w:r w:rsidRPr="00F261A1">
        <w:rPr>
          <w:rFonts w:ascii="Times New Roman" w:hAnsi="Times New Roman" w:cs="Times New Roman"/>
        </w:rPr>
        <w:t>der No. 8 Granting Motion to Compel and Extending Deadlines (Sep. 25, 2020)</w:t>
      </w:r>
      <w:r>
        <w:rPr>
          <w:rFonts w:ascii="Times New Roman" w:hAnsi="Times New Roman" w:cs="Times New Roman"/>
        </w:rPr>
        <w:t>.</w:t>
      </w:r>
      <w:r>
        <w:t xml:space="preserve"> </w:t>
      </w:r>
    </w:p>
  </w:footnote>
  <w:footnote w:id="12">
    <w:p w14:paraId="19A63FF3" w14:textId="77777777" w:rsidR="00DD508B" w:rsidRPr="00F261A1" w:rsidRDefault="00DD508B" w:rsidP="00DD508B">
      <w:pPr>
        <w:pStyle w:val="FootnoteText"/>
        <w:ind w:firstLine="720"/>
        <w:jc w:val="both"/>
        <w:rPr>
          <w:rFonts w:ascii="Times New Roman" w:hAnsi="Times New Roman" w:cs="Times New Roman"/>
        </w:rPr>
      </w:pPr>
      <w:r w:rsidRPr="00F261A1">
        <w:rPr>
          <w:rStyle w:val="FootnoteReference"/>
          <w:rFonts w:ascii="Times New Roman" w:hAnsi="Times New Roman" w:cs="Times New Roman"/>
        </w:rPr>
        <w:footnoteRef/>
      </w:r>
      <w:r w:rsidRPr="00F261A1">
        <w:rPr>
          <w:rFonts w:ascii="Times New Roman" w:hAnsi="Times New Roman" w:cs="Times New Roman"/>
        </w:rPr>
        <w:t xml:space="preserve"> Order No. </w:t>
      </w:r>
      <w:r>
        <w:rPr>
          <w:rFonts w:ascii="Times New Roman" w:hAnsi="Times New Roman" w:cs="Times New Roman"/>
        </w:rPr>
        <w:t>8</w:t>
      </w:r>
      <w:r w:rsidRPr="00F261A1">
        <w:rPr>
          <w:rFonts w:ascii="Times New Roman" w:hAnsi="Times New Roman" w:cs="Times New Roman"/>
        </w:rPr>
        <w:t xml:space="preserve"> Granting Request to Abate Discovery and Granting Extension Request (Oct. 23,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26488"/>
    <w:rsid w:val="00030E3D"/>
    <w:rsid w:val="00075AD3"/>
    <w:rsid w:val="00084A3A"/>
    <w:rsid w:val="000944E6"/>
    <w:rsid w:val="000C3E52"/>
    <w:rsid w:val="000D6DF0"/>
    <w:rsid w:val="000F5BCE"/>
    <w:rsid w:val="000F602B"/>
    <w:rsid w:val="0010009E"/>
    <w:rsid w:val="00145CA7"/>
    <w:rsid w:val="00174E13"/>
    <w:rsid w:val="001A4F6C"/>
    <w:rsid w:val="001C23C4"/>
    <w:rsid w:val="001D785F"/>
    <w:rsid w:val="00230BB7"/>
    <w:rsid w:val="002332D5"/>
    <w:rsid w:val="002667A1"/>
    <w:rsid w:val="0027057E"/>
    <w:rsid w:val="002763DE"/>
    <w:rsid w:val="00287147"/>
    <w:rsid w:val="002B1C83"/>
    <w:rsid w:val="0033042B"/>
    <w:rsid w:val="00362053"/>
    <w:rsid w:val="00362BB2"/>
    <w:rsid w:val="00372BD4"/>
    <w:rsid w:val="003932AB"/>
    <w:rsid w:val="003A25F0"/>
    <w:rsid w:val="003C2717"/>
    <w:rsid w:val="003F6DD4"/>
    <w:rsid w:val="00402235"/>
    <w:rsid w:val="0041715D"/>
    <w:rsid w:val="0046347D"/>
    <w:rsid w:val="00485E9D"/>
    <w:rsid w:val="00496A4F"/>
    <w:rsid w:val="004E4FF3"/>
    <w:rsid w:val="004F0B94"/>
    <w:rsid w:val="004F5185"/>
    <w:rsid w:val="004F75DB"/>
    <w:rsid w:val="00500EC9"/>
    <w:rsid w:val="00515340"/>
    <w:rsid w:val="00520C7F"/>
    <w:rsid w:val="00542642"/>
    <w:rsid w:val="00573DC6"/>
    <w:rsid w:val="00574892"/>
    <w:rsid w:val="00582E34"/>
    <w:rsid w:val="0058466F"/>
    <w:rsid w:val="005B69B4"/>
    <w:rsid w:val="00654B31"/>
    <w:rsid w:val="00665013"/>
    <w:rsid w:val="006657B7"/>
    <w:rsid w:val="006A36D0"/>
    <w:rsid w:val="006C6472"/>
    <w:rsid w:val="00703DF4"/>
    <w:rsid w:val="007204E7"/>
    <w:rsid w:val="00726B6D"/>
    <w:rsid w:val="00751698"/>
    <w:rsid w:val="00777012"/>
    <w:rsid w:val="00780C56"/>
    <w:rsid w:val="007F0BD3"/>
    <w:rsid w:val="00806E82"/>
    <w:rsid w:val="00821130"/>
    <w:rsid w:val="00841929"/>
    <w:rsid w:val="008629AD"/>
    <w:rsid w:val="0086304D"/>
    <w:rsid w:val="008834C3"/>
    <w:rsid w:val="008A4004"/>
    <w:rsid w:val="008B2070"/>
    <w:rsid w:val="008E0FCF"/>
    <w:rsid w:val="008E29F9"/>
    <w:rsid w:val="008F0F1C"/>
    <w:rsid w:val="008F45E8"/>
    <w:rsid w:val="0090196B"/>
    <w:rsid w:val="00911C0A"/>
    <w:rsid w:val="00916209"/>
    <w:rsid w:val="0095103B"/>
    <w:rsid w:val="00965A73"/>
    <w:rsid w:val="00970F23"/>
    <w:rsid w:val="0097478E"/>
    <w:rsid w:val="009A252C"/>
    <w:rsid w:val="009E1694"/>
    <w:rsid w:val="009E3D62"/>
    <w:rsid w:val="009F2B05"/>
    <w:rsid w:val="00A07100"/>
    <w:rsid w:val="00A11339"/>
    <w:rsid w:val="00A15668"/>
    <w:rsid w:val="00A16647"/>
    <w:rsid w:val="00A661D4"/>
    <w:rsid w:val="00A674A9"/>
    <w:rsid w:val="00A7625F"/>
    <w:rsid w:val="00A7789A"/>
    <w:rsid w:val="00A9190D"/>
    <w:rsid w:val="00AA28F2"/>
    <w:rsid w:val="00AA2FC3"/>
    <w:rsid w:val="00AB1D98"/>
    <w:rsid w:val="00AB3293"/>
    <w:rsid w:val="00AC4A7A"/>
    <w:rsid w:val="00AE46B9"/>
    <w:rsid w:val="00AF28D4"/>
    <w:rsid w:val="00B130B2"/>
    <w:rsid w:val="00B834E6"/>
    <w:rsid w:val="00C03E59"/>
    <w:rsid w:val="00C13D58"/>
    <w:rsid w:val="00C20F43"/>
    <w:rsid w:val="00C267CB"/>
    <w:rsid w:val="00C464FD"/>
    <w:rsid w:val="00C64F00"/>
    <w:rsid w:val="00C6550E"/>
    <w:rsid w:val="00C7320A"/>
    <w:rsid w:val="00C957D0"/>
    <w:rsid w:val="00CB6C32"/>
    <w:rsid w:val="00CB6EE2"/>
    <w:rsid w:val="00CC6C9C"/>
    <w:rsid w:val="00CD736D"/>
    <w:rsid w:val="00CE0674"/>
    <w:rsid w:val="00CE7685"/>
    <w:rsid w:val="00D473BC"/>
    <w:rsid w:val="00D62324"/>
    <w:rsid w:val="00D748C2"/>
    <w:rsid w:val="00D93545"/>
    <w:rsid w:val="00DB2196"/>
    <w:rsid w:val="00DB5BDC"/>
    <w:rsid w:val="00DD508B"/>
    <w:rsid w:val="00DD5D8C"/>
    <w:rsid w:val="00DE3091"/>
    <w:rsid w:val="00DE570E"/>
    <w:rsid w:val="00E13BEF"/>
    <w:rsid w:val="00E1459B"/>
    <w:rsid w:val="00E201EF"/>
    <w:rsid w:val="00E43893"/>
    <w:rsid w:val="00E51FAB"/>
    <w:rsid w:val="00E82D22"/>
    <w:rsid w:val="00EA2945"/>
    <w:rsid w:val="00EC090B"/>
    <w:rsid w:val="00EC30DE"/>
    <w:rsid w:val="00ED0523"/>
    <w:rsid w:val="00ED62BB"/>
    <w:rsid w:val="00EF14E1"/>
    <w:rsid w:val="00F261A1"/>
    <w:rsid w:val="00F32258"/>
    <w:rsid w:val="00F42D27"/>
    <w:rsid w:val="00F55E62"/>
    <w:rsid w:val="00F75157"/>
    <w:rsid w:val="00FB29B8"/>
    <w:rsid w:val="00FB2E62"/>
    <w:rsid w:val="00FB3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703DF4"/>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2021-07-20T19:07:00Z</dcterms:created>
  <dcterms:modified xsi:type="dcterms:W3CDTF">2021-08-04T17:41:00Z</dcterms:modified>
</cp:coreProperties>
</file>